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081" w:rsidRDefault="000A5B09" w:rsidP="000A5B09">
      <w:pPr>
        <w:jc w:val="center"/>
      </w:pPr>
      <w:bookmarkStart w:id="0" w:name="_GoBack"/>
      <w:bookmarkEnd w:id="0"/>
      <w:r>
        <w:rPr>
          <w:b/>
          <w:noProof/>
          <w:sz w:val="32"/>
          <w:szCs w:val="32"/>
          <w:lang w:val="en-CA" w:eastAsia="en-CA"/>
        </w:rPr>
        <w:drawing>
          <wp:inline distT="0" distB="0" distL="0" distR="0" wp14:anchorId="2CDB4765" wp14:editId="734EB731">
            <wp:extent cx="1915035" cy="1323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067" cy="1328837"/>
                    </a:xfrm>
                    <a:prstGeom prst="rect">
                      <a:avLst/>
                    </a:prstGeom>
                  </pic:spPr>
                </pic:pic>
              </a:graphicData>
            </a:graphic>
          </wp:inline>
        </w:drawing>
      </w:r>
    </w:p>
    <w:p w:rsidR="000A5B09" w:rsidRPr="00480181" w:rsidRDefault="000A5B09" w:rsidP="007D596F">
      <w:pPr>
        <w:spacing w:before="240" w:after="80" w:line="240" w:lineRule="auto"/>
        <w:jc w:val="center"/>
        <w:rPr>
          <w:rFonts w:cs="Times New Roman"/>
          <w:b/>
          <w:sz w:val="28"/>
          <w:szCs w:val="28"/>
        </w:rPr>
      </w:pPr>
      <w:r w:rsidRPr="000A5B09">
        <w:rPr>
          <w:rFonts w:cs="Times New Roman"/>
          <w:b/>
          <w:sz w:val="28"/>
          <w:szCs w:val="28"/>
        </w:rPr>
        <w:t>Special Issue Call for Papers:</w:t>
      </w:r>
    </w:p>
    <w:p w:rsidR="000A5B09" w:rsidRPr="000A5B09" w:rsidRDefault="000A5B09" w:rsidP="000A5B09">
      <w:pPr>
        <w:spacing w:after="0" w:line="240" w:lineRule="auto"/>
        <w:jc w:val="center"/>
        <w:rPr>
          <w:rFonts w:cs="Times New Roman"/>
          <w:b/>
          <w:sz w:val="36"/>
          <w:szCs w:val="36"/>
        </w:rPr>
      </w:pPr>
      <w:r w:rsidRPr="000A5B09">
        <w:rPr>
          <w:rFonts w:cs="Times New Roman"/>
          <w:b/>
          <w:sz w:val="36"/>
          <w:szCs w:val="36"/>
        </w:rPr>
        <w:t>The Who, Where, What, How and When of Market Entry</w:t>
      </w:r>
    </w:p>
    <w:p w:rsidR="000A5B09" w:rsidRPr="000A5B09" w:rsidRDefault="000A5B09" w:rsidP="000A5B09">
      <w:pPr>
        <w:spacing w:after="0" w:line="240" w:lineRule="auto"/>
        <w:jc w:val="center"/>
        <w:rPr>
          <w:rFonts w:cs="Times New Roman"/>
          <w:sz w:val="28"/>
          <w:szCs w:val="28"/>
        </w:rPr>
      </w:pPr>
    </w:p>
    <w:p w:rsidR="000A5B09" w:rsidRDefault="000A5B09" w:rsidP="007D596F">
      <w:pPr>
        <w:spacing w:after="0" w:line="240" w:lineRule="auto"/>
        <w:jc w:val="center"/>
        <w:rPr>
          <w:rFonts w:cs="Times New Roman"/>
        </w:rPr>
      </w:pPr>
      <w:r w:rsidRPr="000A5B09">
        <w:rPr>
          <w:rFonts w:cs="Times New Roman"/>
        </w:rPr>
        <w:t>Submission deadline: December 1</w:t>
      </w:r>
      <w:r w:rsidRPr="000A5B09">
        <w:rPr>
          <w:rFonts w:cs="Times New Roman"/>
          <w:vertAlign w:val="superscript"/>
        </w:rPr>
        <w:t>st</w:t>
      </w:r>
      <w:r w:rsidR="007D596F">
        <w:rPr>
          <w:rFonts w:cs="Times New Roman"/>
        </w:rPr>
        <w:t>, 2016</w:t>
      </w:r>
    </w:p>
    <w:p w:rsidR="007D596F" w:rsidRPr="007D596F" w:rsidRDefault="007D596F" w:rsidP="007D596F">
      <w:pPr>
        <w:spacing w:after="0" w:line="240" w:lineRule="auto"/>
        <w:jc w:val="center"/>
        <w:rPr>
          <w:rFonts w:cs="Times New Roman"/>
        </w:rPr>
      </w:pPr>
    </w:p>
    <w:p w:rsidR="000A5B09" w:rsidRDefault="000A5B09" w:rsidP="000A5B09">
      <w:pPr>
        <w:spacing w:after="0" w:line="240" w:lineRule="auto"/>
        <w:rPr>
          <w:rFonts w:cs="Times New Roman"/>
          <w:b/>
        </w:rPr>
      </w:pPr>
    </w:p>
    <w:p w:rsidR="000A5B09" w:rsidRPr="000A5B09" w:rsidRDefault="000A5B09" w:rsidP="00250781">
      <w:pPr>
        <w:spacing w:after="80" w:line="240" w:lineRule="auto"/>
        <w:rPr>
          <w:rFonts w:cs="Times New Roman"/>
          <w:b/>
        </w:rPr>
      </w:pPr>
      <w:r>
        <w:rPr>
          <w:rFonts w:cs="Times New Roman"/>
          <w:b/>
        </w:rPr>
        <w:t>GUEST EDITORS</w:t>
      </w:r>
    </w:p>
    <w:p w:rsidR="000A5B09" w:rsidRPr="000A5B09" w:rsidRDefault="000A5B09" w:rsidP="00614D56">
      <w:pPr>
        <w:pStyle w:val="ListParagraph"/>
        <w:numPr>
          <w:ilvl w:val="0"/>
          <w:numId w:val="1"/>
        </w:numPr>
        <w:spacing w:after="0"/>
        <w:ind w:left="709" w:hanging="283"/>
        <w:rPr>
          <w:rFonts w:cs="Times New Roman"/>
        </w:rPr>
      </w:pPr>
      <w:r w:rsidRPr="000A5B09">
        <w:rPr>
          <w:rFonts w:cs="Times New Roman"/>
        </w:rPr>
        <w:t>Gideon Markman, Colorado State University, USA (</w:t>
      </w:r>
      <w:hyperlink r:id="rId6" w:history="1">
        <w:r w:rsidRPr="001161C1">
          <w:rPr>
            <w:rStyle w:val="Hyperlink"/>
            <w:rFonts w:cs="Times New Roman"/>
          </w:rPr>
          <w:t>gideon.markman@colostate.edu</w:t>
        </w:r>
      </w:hyperlink>
      <w:r w:rsidRPr="000A5B09">
        <w:rPr>
          <w:rFonts w:cs="Times New Roman"/>
        </w:rPr>
        <w:t>)</w:t>
      </w:r>
    </w:p>
    <w:p w:rsidR="000A5B09" w:rsidRPr="000A5B09" w:rsidRDefault="000A5B09" w:rsidP="00614D56">
      <w:pPr>
        <w:pStyle w:val="ListParagraph"/>
        <w:numPr>
          <w:ilvl w:val="0"/>
          <w:numId w:val="1"/>
        </w:numPr>
        <w:spacing w:after="0"/>
        <w:ind w:left="709" w:hanging="283"/>
        <w:rPr>
          <w:rFonts w:cs="Times New Roman"/>
        </w:rPr>
      </w:pPr>
      <w:r w:rsidRPr="000A5B09">
        <w:rPr>
          <w:rFonts w:cs="Times New Roman"/>
        </w:rPr>
        <w:t>Peter Gianiodis, Clemson University, USA (</w:t>
      </w:r>
      <w:hyperlink r:id="rId7" w:history="1">
        <w:r w:rsidRPr="001161C1">
          <w:rPr>
            <w:rStyle w:val="Hyperlink"/>
            <w:rFonts w:cs="Times New Roman"/>
          </w:rPr>
          <w:t>pgianio@clemson.edu</w:t>
        </w:r>
      </w:hyperlink>
      <w:r w:rsidRPr="000A5B09">
        <w:rPr>
          <w:rFonts w:cs="Times New Roman"/>
        </w:rPr>
        <w:t>)</w:t>
      </w:r>
    </w:p>
    <w:p w:rsidR="000A5B09" w:rsidRPr="000A5B09" w:rsidRDefault="000A5B09" w:rsidP="00614D56">
      <w:pPr>
        <w:pStyle w:val="ListParagraph"/>
        <w:numPr>
          <w:ilvl w:val="0"/>
          <w:numId w:val="1"/>
        </w:numPr>
        <w:spacing w:after="0"/>
        <w:ind w:left="709" w:hanging="283"/>
        <w:rPr>
          <w:rFonts w:cs="Times New Roman"/>
        </w:rPr>
      </w:pPr>
      <w:r w:rsidRPr="000A5B09">
        <w:rPr>
          <w:rFonts w:cs="Times New Roman"/>
        </w:rPr>
        <w:t>G. Tyge Payne, Texas Tech University, USA (</w:t>
      </w:r>
      <w:hyperlink r:id="rId8" w:history="1">
        <w:r w:rsidRPr="001161C1">
          <w:rPr>
            <w:rStyle w:val="Hyperlink"/>
            <w:rFonts w:cs="Times New Roman"/>
          </w:rPr>
          <w:t>tyge.payne@ttu.edu</w:t>
        </w:r>
      </w:hyperlink>
      <w:r w:rsidRPr="000A5B09">
        <w:rPr>
          <w:rFonts w:cs="Times New Roman"/>
        </w:rPr>
        <w:t>)</w:t>
      </w:r>
    </w:p>
    <w:p w:rsidR="000A5B09" w:rsidRPr="000A5B09" w:rsidRDefault="000A5B09" w:rsidP="00614D56">
      <w:pPr>
        <w:pStyle w:val="ListParagraph"/>
        <w:numPr>
          <w:ilvl w:val="0"/>
          <w:numId w:val="1"/>
        </w:numPr>
        <w:spacing w:after="0"/>
        <w:ind w:left="709" w:hanging="283"/>
        <w:rPr>
          <w:rFonts w:cs="Times New Roman"/>
        </w:rPr>
      </w:pPr>
      <w:r w:rsidRPr="000A5B09">
        <w:rPr>
          <w:rFonts w:cs="Times New Roman"/>
        </w:rPr>
        <w:t>Eric Gedajlovic, Simon Fraser University, Canada (</w:t>
      </w:r>
      <w:hyperlink r:id="rId9" w:history="1">
        <w:r w:rsidRPr="001161C1">
          <w:rPr>
            <w:rStyle w:val="Hyperlink"/>
            <w:rFonts w:cs="Times New Roman"/>
          </w:rPr>
          <w:t>erg@sfu.ca</w:t>
        </w:r>
      </w:hyperlink>
      <w:r w:rsidRPr="000A5B09">
        <w:rPr>
          <w:rFonts w:cs="Times New Roman"/>
        </w:rPr>
        <w:t>)</w:t>
      </w:r>
    </w:p>
    <w:p w:rsidR="000A5B09" w:rsidRPr="000A5B09" w:rsidRDefault="000A5B09" w:rsidP="00614D56">
      <w:pPr>
        <w:pStyle w:val="ListParagraph"/>
        <w:numPr>
          <w:ilvl w:val="0"/>
          <w:numId w:val="1"/>
        </w:numPr>
        <w:spacing w:after="0"/>
        <w:ind w:left="709" w:hanging="283"/>
        <w:rPr>
          <w:rFonts w:cs="Times New Roman"/>
        </w:rPr>
      </w:pPr>
      <w:r w:rsidRPr="000A5B09">
        <w:rPr>
          <w:rFonts w:cs="Times New Roman"/>
        </w:rPr>
        <w:t>Reddi Kotha, Singapore Management University, Singapore (</w:t>
      </w:r>
      <w:hyperlink r:id="rId10" w:history="1">
        <w:r w:rsidRPr="001161C1">
          <w:rPr>
            <w:rStyle w:val="Hyperlink"/>
            <w:rFonts w:cs="Times New Roman"/>
          </w:rPr>
          <w:t>reddikotha@smu.edu.sg</w:t>
        </w:r>
      </w:hyperlink>
      <w:r w:rsidRPr="000A5B09">
        <w:rPr>
          <w:rFonts w:cs="Times New Roman"/>
        </w:rPr>
        <w:t>)</w:t>
      </w:r>
    </w:p>
    <w:p w:rsidR="000A5B09" w:rsidRPr="000A5B09" w:rsidRDefault="000A5B09" w:rsidP="00614D56">
      <w:pPr>
        <w:pStyle w:val="ListParagraph"/>
        <w:numPr>
          <w:ilvl w:val="0"/>
          <w:numId w:val="1"/>
        </w:numPr>
        <w:spacing w:after="0"/>
        <w:ind w:left="709" w:hanging="283"/>
        <w:rPr>
          <w:rFonts w:cs="Times New Roman"/>
        </w:rPr>
      </w:pPr>
      <w:r w:rsidRPr="000A5B09">
        <w:rPr>
          <w:rFonts w:cs="Times New Roman"/>
        </w:rPr>
        <w:t>Christopher Tucci, Ecole Polytechnique Federale de Lausanne, Switzerland (</w:t>
      </w:r>
      <w:hyperlink r:id="rId11" w:history="1">
        <w:r w:rsidRPr="001161C1">
          <w:rPr>
            <w:rStyle w:val="Hyperlink"/>
            <w:rFonts w:cs="Times New Roman"/>
          </w:rPr>
          <w:t>christopher.tucci@epfl.ch</w:t>
        </w:r>
      </w:hyperlink>
      <w:r w:rsidRPr="000A5B09">
        <w:rPr>
          <w:rFonts w:cs="Times New Roman"/>
        </w:rPr>
        <w:t>)</w:t>
      </w:r>
    </w:p>
    <w:p w:rsidR="000A5B09" w:rsidRPr="000A5B09" w:rsidRDefault="000A5B09" w:rsidP="00614D56">
      <w:pPr>
        <w:pStyle w:val="ListParagraph"/>
        <w:numPr>
          <w:ilvl w:val="0"/>
          <w:numId w:val="1"/>
        </w:numPr>
        <w:spacing w:after="0"/>
        <w:ind w:left="709" w:hanging="283"/>
        <w:rPr>
          <w:rFonts w:cs="Times New Roman"/>
        </w:rPr>
      </w:pPr>
      <w:r w:rsidRPr="000A5B09">
        <w:rPr>
          <w:rFonts w:cs="Times New Roman"/>
        </w:rPr>
        <w:t>JMS General Editor: Igor Filatotchev, Cass Business School (</w:t>
      </w:r>
      <w:hyperlink r:id="rId12" w:history="1">
        <w:r w:rsidRPr="001161C1">
          <w:rPr>
            <w:rStyle w:val="Hyperlink"/>
            <w:rFonts w:cs="Times New Roman"/>
          </w:rPr>
          <w:t>Igor.Filatotchev.1@city.ac.uk</w:t>
        </w:r>
      </w:hyperlink>
      <w:r w:rsidRPr="000A5B09">
        <w:rPr>
          <w:rFonts w:cs="Times New Roman"/>
        </w:rPr>
        <w:t>)</w:t>
      </w:r>
    </w:p>
    <w:p w:rsidR="000A5B09" w:rsidRPr="000A5B09" w:rsidRDefault="000A5B09" w:rsidP="000A5B09">
      <w:pPr>
        <w:spacing w:after="0" w:line="240" w:lineRule="auto"/>
        <w:rPr>
          <w:rFonts w:cs="Times New Roman"/>
        </w:rPr>
      </w:pPr>
    </w:p>
    <w:p w:rsidR="000A5B09" w:rsidRDefault="000A5B09" w:rsidP="000A5B09">
      <w:pPr>
        <w:spacing w:after="0"/>
        <w:rPr>
          <w:rFonts w:cs="Times New Roman"/>
          <w:b/>
        </w:rPr>
      </w:pPr>
    </w:p>
    <w:p w:rsidR="000A5B09" w:rsidRDefault="000A5B09" w:rsidP="00250781">
      <w:pPr>
        <w:spacing w:after="80"/>
        <w:rPr>
          <w:rFonts w:cs="Times New Roman"/>
          <w:b/>
        </w:rPr>
      </w:pPr>
      <w:r>
        <w:rPr>
          <w:rFonts w:cs="Times New Roman"/>
          <w:b/>
        </w:rPr>
        <w:t>TOPIC OF INTEREST</w:t>
      </w:r>
    </w:p>
    <w:p w:rsidR="000A5B09" w:rsidRPr="000A5B09" w:rsidRDefault="000A5B09" w:rsidP="000A5B09">
      <w:pPr>
        <w:spacing w:after="0"/>
        <w:rPr>
          <w:rFonts w:cs="Times New Roman"/>
          <w:b/>
        </w:rPr>
      </w:pPr>
      <w:r w:rsidRPr="000A5B09">
        <w:rPr>
          <w:rFonts w:cs="Times New Roman"/>
        </w:rPr>
        <w:t xml:space="preserve">Entry decisions are complex and the reversibility of resource deployment—especially in the face of failed entry—can be quite costly.  For </w:t>
      </w:r>
      <w:r w:rsidRPr="000A5B09">
        <w:rPr>
          <w:rFonts w:cs="Times New Roman"/>
          <w:i/>
        </w:rPr>
        <w:t>de novo</w:t>
      </w:r>
      <w:r w:rsidRPr="000A5B09">
        <w:rPr>
          <w:rFonts w:cs="Times New Roman"/>
        </w:rPr>
        <w:t xml:space="preserve"> entrants, entry choices are particularly consequential as they often signify a startup’s first competitive encounter with incumbent firms </w:t>
      </w:r>
      <w:r w:rsidRPr="000A5B09">
        <w:rPr>
          <w:rFonts w:cs="Times New Roman"/>
          <w:noProof/>
        </w:rPr>
        <w:t>and failed</w:t>
      </w:r>
      <w:r w:rsidRPr="000A5B09">
        <w:rPr>
          <w:rFonts w:cs="Times New Roman"/>
        </w:rPr>
        <w:t xml:space="preserve"> entry often ends in disbandment. </w:t>
      </w:r>
      <w:r w:rsidRPr="000A5B09">
        <w:rPr>
          <w:rFonts w:cs="Times New Roman"/>
          <w:i/>
          <w:noProof/>
        </w:rPr>
        <w:t>De alio</w:t>
      </w:r>
      <w:r w:rsidRPr="000A5B09">
        <w:rPr>
          <w:rFonts w:cs="Times New Roman"/>
        </w:rPr>
        <w:t xml:space="preserve"> (diversifying) entrants also face significant challenges because entry is an </w:t>
      </w:r>
      <w:r w:rsidRPr="000A5B09">
        <w:rPr>
          <w:rFonts w:cs="Times New Roman"/>
          <w:noProof/>
        </w:rPr>
        <w:t xml:space="preserve">uncertain </w:t>
      </w:r>
      <w:r w:rsidRPr="000A5B09">
        <w:rPr>
          <w:rFonts w:cs="Times New Roman"/>
          <w:i/>
          <w:noProof/>
        </w:rPr>
        <w:t>process</w:t>
      </w:r>
      <w:r w:rsidRPr="000A5B09">
        <w:rPr>
          <w:rFonts w:cs="Times New Roman"/>
        </w:rPr>
        <w:t>—not a short-term event—requiring</w:t>
      </w:r>
      <w:r w:rsidRPr="000A5B09">
        <w:rPr>
          <w:rFonts w:cs="Times New Roman"/>
          <w:noProof/>
        </w:rPr>
        <w:t xml:space="preserve"> internal</w:t>
      </w:r>
      <w:r w:rsidRPr="000A5B09">
        <w:rPr>
          <w:rFonts w:cs="Times New Roman"/>
        </w:rPr>
        <w:t xml:space="preserve"> changes </w:t>
      </w:r>
      <w:r w:rsidRPr="000A5B09">
        <w:rPr>
          <w:rFonts w:cs="Times New Roman"/>
          <w:noProof/>
        </w:rPr>
        <w:t>and exposing</w:t>
      </w:r>
      <w:r w:rsidRPr="000A5B09">
        <w:rPr>
          <w:rFonts w:cs="Times New Roman"/>
        </w:rPr>
        <w:t xml:space="preserve"> entrants to unfamiliar contingencies. In addition, entry into new geographical areas, including through M&amp;A and joint ventures, add another layer of complexity. </w:t>
      </w:r>
    </w:p>
    <w:p w:rsidR="000A5B09" w:rsidRPr="000A5B09" w:rsidRDefault="000A5B09" w:rsidP="000A5B09">
      <w:pPr>
        <w:spacing w:after="0"/>
        <w:rPr>
          <w:rFonts w:cs="Times New Roman"/>
        </w:rPr>
      </w:pPr>
    </w:p>
    <w:p w:rsidR="000A5B09" w:rsidRPr="000A5B09" w:rsidRDefault="000A5B09" w:rsidP="000A5B09">
      <w:pPr>
        <w:spacing w:after="0"/>
        <w:rPr>
          <w:rFonts w:cs="Times New Roman"/>
        </w:rPr>
      </w:pPr>
      <w:r w:rsidRPr="000A5B09">
        <w:rPr>
          <w:rFonts w:cs="Times New Roman"/>
        </w:rPr>
        <w:t xml:space="preserve">Though research on entry is extensive, Zachary and his colleagues (2015) who reviewed 25 years of entry research starting with Lieberman and Montgomery’s seminal work on first mover advantage (1988), warn that theory development on market entry is urgently needed.  Casting a wider net than </w:t>
      </w:r>
      <w:r w:rsidRPr="000A5B09">
        <w:rPr>
          <w:rFonts w:cs="Times New Roman"/>
          <w:noProof/>
        </w:rPr>
        <w:t>previous</w:t>
      </w:r>
      <w:r w:rsidRPr="000A5B09">
        <w:rPr>
          <w:rFonts w:cs="Times New Roman"/>
        </w:rPr>
        <w:t xml:space="preserve"> work on market entry, which has primarily taken an industry view and focused mainly on entrant-incumbent dyads, we seek more </w:t>
      </w:r>
      <w:r w:rsidRPr="000A5B09">
        <w:rPr>
          <w:rFonts w:cs="Times New Roman"/>
          <w:noProof/>
        </w:rPr>
        <w:t>expansive</w:t>
      </w:r>
      <w:r w:rsidRPr="000A5B09">
        <w:rPr>
          <w:rFonts w:cs="Times New Roman"/>
        </w:rPr>
        <w:t xml:space="preserve"> </w:t>
      </w:r>
      <w:r w:rsidRPr="000A5B09">
        <w:rPr>
          <w:rFonts w:cs="Times New Roman"/>
          <w:noProof/>
        </w:rPr>
        <w:t>research and theory addressing a</w:t>
      </w:r>
      <w:r w:rsidRPr="000A5B09">
        <w:rPr>
          <w:rFonts w:cs="Times New Roman"/>
        </w:rPr>
        <w:t xml:space="preserve"> wider set of antecedents, </w:t>
      </w:r>
      <w:r w:rsidRPr="000A5B09">
        <w:rPr>
          <w:rFonts w:cs="Times New Roman"/>
          <w:noProof/>
        </w:rPr>
        <w:t>contingencies,</w:t>
      </w:r>
      <w:r w:rsidRPr="000A5B09">
        <w:rPr>
          <w:rFonts w:cs="Times New Roman"/>
        </w:rPr>
        <w:t xml:space="preserve"> and consequences.  Several avenues seem particularly salient; for example, we do not know how stringent sustainability standards, genuine social and environmental </w:t>
      </w:r>
      <w:r w:rsidRPr="000A5B09">
        <w:rPr>
          <w:rFonts w:cs="Times New Roman"/>
          <w:noProof/>
        </w:rPr>
        <w:t>commitment</w:t>
      </w:r>
      <w:r w:rsidRPr="000A5B09">
        <w:rPr>
          <w:rFonts w:cs="Times New Roman"/>
        </w:rPr>
        <w:t xml:space="preserve"> and deep ethical principles influence entry processes and subsequent market dynamics or industry structure.  Similarly, under what conditions </w:t>
      </w:r>
      <w:r w:rsidRPr="000A5B09">
        <w:rPr>
          <w:rFonts w:cs="Times New Roman"/>
          <w:noProof/>
        </w:rPr>
        <w:t>might social</w:t>
      </w:r>
      <w:r w:rsidRPr="000A5B09">
        <w:rPr>
          <w:rFonts w:cs="Times New Roman"/>
        </w:rPr>
        <w:t xml:space="preserve"> entrepreneurs outmaneuver </w:t>
      </w:r>
      <w:r w:rsidRPr="000A5B09">
        <w:rPr>
          <w:rFonts w:cs="Times New Roman"/>
          <w:i/>
          <w:noProof/>
        </w:rPr>
        <w:t xml:space="preserve">de alio </w:t>
      </w:r>
      <w:r w:rsidRPr="000A5B09">
        <w:rPr>
          <w:rFonts w:cs="Times New Roman"/>
          <w:noProof/>
        </w:rPr>
        <w:t>entrants</w:t>
      </w:r>
      <w:r w:rsidRPr="000A5B09">
        <w:rPr>
          <w:rFonts w:cs="Times New Roman"/>
        </w:rPr>
        <w:t xml:space="preserve"> and how does their </w:t>
      </w:r>
      <w:r w:rsidRPr="000A5B09">
        <w:rPr>
          <w:rFonts w:cs="Times New Roman"/>
          <w:i/>
          <w:noProof/>
        </w:rPr>
        <w:t xml:space="preserve">ideology </w:t>
      </w:r>
      <w:r w:rsidRPr="000A5B09">
        <w:rPr>
          <w:rFonts w:cs="Times New Roman"/>
          <w:noProof/>
        </w:rPr>
        <w:t>influence</w:t>
      </w:r>
      <w:r w:rsidRPr="000A5B09">
        <w:rPr>
          <w:rFonts w:cs="Times New Roman"/>
        </w:rPr>
        <w:t xml:space="preserve"> incumbents’ behavior (Markman, Waldron &amp; Panagopoulos, 2016)?  Further, ample evidence shows that most entry via acquisition is value destroying, so a deeper examination of why </w:t>
      </w:r>
      <w:r w:rsidRPr="000A5B09">
        <w:rPr>
          <w:rFonts w:cs="Times New Roman"/>
          <w:i/>
          <w:noProof/>
        </w:rPr>
        <w:t>M&amp;A-type</w:t>
      </w:r>
      <w:r w:rsidRPr="000A5B09">
        <w:rPr>
          <w:rFonts w:cs="Times New Roman"/>
        </w:rPr>
        <w:t xml:space="preserve"> </w:t>
      </w:r>
      <w:r w:rsidRPr="000A5B09">
        <w:rPr>
          <w:rFonts w:cs="Times New Roman"/>
          <w:noProof/>
        </w:rPr>
        <w:t>entry remains so prevelant</w:t>
      </w:r>
      <w:r w:rsidRPr="000A5B09">
        <w:rPr>
          <w:rFonts w:cs="Times New Roman"/>
        </w:rPr>
        <w:t>, especially cross-</w:t>
      </w:r>
      <w:r w:rsidRPr="000A5B09">
        <w:rPr>
          <w:rFonts w:cs="Times New Roman"/>
        </w:rPr>
        <w:lastRenderedPageBreak/>
        <w:t xml:space="preserve">border acquisitions, is in order.  Additionally, what is the role of human capital in entry and how do firm capabilities influence post-entry survival and long-term success?  </w:t>
      </w:r>
    </w:p>
    <w:p w:rsidR="000A5B09" w:rsidRPr="000A5B09" w:rsidRDefault="000A5B09" w:rsidP="000A5B09">
      <w:pPr>
        <w:spacing w:after="0"/>
        <w:rPr>
          <w:rFonts w:cs="Times New Roman"/>
        </w:rPr>
      </w:pPr>
    </w:p>
    <w:p w:rsidR="000A5B09" w:rsidRPr="000A5B09" w:rsidRDefault="000A5B09" w:rsidP="000A5B09">
      <w:pPr>
        <w:spacing w:after="0"/>
        <w:rPr>
          <w:rFonts w:cs="Times New Roman"/>
        </w:rPr>
      </w:pPr>
      <w:r w:rsidRPr="000A5B09">
        <w:rPr>
          <w:rFonts w:cs="Times New Roman"/>
        </w:rPr>
        <w:t xml:space="preserve">Such </w:t>
      </w:r>
      <w:r w:rsidRPr="000A5B09">
        <w:rPr>
          <w:rFonts w:cs="Times New Roman"/>
          <w:noProof/>
        </w:rPr>
        <w:t>a spectrum</w:t>
      </w:r>
      <w:r w:rsidRPr="000A5B09">
        <w:rPr>
          <w:rFonts w:cs="Times New Roman"/>
        </w:rPr>
        <w:t xml:space="preserve"> of questions suggests that the conceptual scope and empirical complexities related to entry antecedents, processes and outcomes are remarkably diverse.  Extending Zachary and his colleagues’ (2015) effort to map the core forces of entry, this Special Issue seeks scholarly research—empirical expansions, theory development, and case studies—on the </w:t>
      </w:r>
      <w:r w:rsidRPr="000A5B09">
        <w:rPr>
          <w:rFonts w:cs="Times New Roman"/>
          <w:i/>
        </w:rPr>
        <w:t xml:space="preserve">who, where, what, how, </w:t>
      </w:r>
      <w:r w:rsidRPr="000A5B09">
        <w:rPr>
          <w:rFonts w:cs="Times New Roman"/>
        </w:rPr>
        <w:t>and</w:t>
      </w:r>
      <w:r w:rsidRPr="000A5B09">
        <w:rPr>
          <w:rFonts w:cs="Times New Roman"/>
          <w:i/>
        </w:rPr>
        <w:t xml:space="preserve"> when of market entry</w:t>
      </w:r>
      <w:r w:rsidRPr="000A5B09">
        <w:rPr>
          <w:rFonts w:cs="Times New Roman"/>
        </w:rPr>
        <w:t xml:space="preserve"> (Figure 1).  We are interested in integrative, cross-disciplinary </w:t>
      </w:r>
      <w:r w:rsidRPr="000A5B09">
        <w:rPr>
          <w:rFonts w:cs="Times New Roman"/>
          <w:noProof/>
        </w:rPr>
        <w:t>work,</w:t>
      </w:r>
      <w:r w:rsidRPr="000A5B09">
        <w:rPr>
          <w:rFonts w:cs="Times New Roman"/>
        </w:rPr>
        <w:t xml:space="preserve"> and </w:t>
      </w:r>
      <w:r w:rsidRPr="000A5B09">
        <w:rPr>
          <w:rFonts w:cs="Times New Roman"/>
          <w:noProof/>
        </w:rPr>
        <w:t>investigations of</w:t>
      </w:r>
      <w:r w:rsidRPr="000A5B09">
        <w:rPr>
          <w:rFonts w:cs="Times New Roman"/>
        </w:rPr>
        <w:t xml:space="preserve"> the conditions, contexts, antecedents, and processes related to pre- and post-market entry, as well as entry dynamics.  Naturally, JMS seek theory-expanding studies so we encourage manuscripts that clearly advance or develop theory, for example, studies that offer a more holistic, causally integrative, and revelatory understanding of </w:t>
      </w:r>
      <w:r w:rsidRPr="000A5B09">
        <w:rPr>
          <w:rFonts w:cs="Times New Roman"/>
          <w:noProof/>
        </w:rPr>
        <w:t>entry</w:t>
      </w:r>
      <w:r w:rsidRPr="000A5B09">
        <w:rPr>
          <w:rFonts w:cs="Times New Roman"/>
        </w:rPr>
        <w:t>.</w:t>
      </w:r>
    </w:p>
    <w:p w:rsidR="000A5B09" w:rsidRPr="000A5B09" w:rsidRDefault="000A5B09" w:rsidP="000A5B09">
      <w:pPr>
        <w:spacing w:after="0" w:line="240" w:lineRule="auto"/>
        <w:rPr>
          <w:rFonts w:cs="Times New Roman"/>
        </w:rPr>
      </w:pPr>
    </w:p>
    <w:p w:rsidR="000A5B09" w:rsidRPr="000A5B09" w:rsidRDefault="000A5B09" w:rsidP="000A5B09">
      <w:pPr>
        <w:pStyle w:val="NormalWeb"/>
        <w:spacing w:before="0" w:beforeAutospacing="0" w:after="0" w:afterAutospacing="0"/>
        <w:jc w:val="center"/>
        <w:rPr>
          <w:rFonts w:asciiTheme="minorHAnsi" w:hAnsiTheme="minorHAnsi"/>
          <w:sz w:val="22"/>
        </w:rPr>
      </w:pPr>
      <w:r w:rsidRPr="000A5B09">
        <w:rPr>
          <w:rFonts w:asciiTheme="minorHAnsi" w:hAnsiTheme="minorHAnsi"/>
          <w:b/>
          <w:bCs/>
          <w:color w:val="000000" w:themeColor="text1"/>
          <w:kern w:val="24"/>
          <w:sz w:val="22"/>
        </w:rPr>
        <w:t>Figure 1: The Five Contingencies of Entry (Adapted from Zachary et al, 2015)</w:t>
      </w:r>
    </w:p>
    <w:p w:rsidR="000A5B09" w:rsidRPr="000A5B09" w:rsidRDefault="000A5B09" w:rsidP="000A5B09">
      <w:pPr>
        <w:spacing w:after="0" w:line="240" w:lineRule="auto"/>
        <w:rPr>
          <w:rFonts w:cs="Times New Roman"/>
        </w:rPr>
      </w:pPr>
    </w:p>
    <w:p w:rsidR="000A5B09" w:rsidRPr="000A5B09" w:rsidRDefault="00E76C61" w:rsidP="000A5B09">
      <w:pPr>
        <w:spacing w:after="0" w:line="240" w:lineRule="auto"/>
        <w:rPr>
          <w:rFonts w:cs="Times New Roman"/>
        </w:rPr>
      </w:pPr>
      <w:r w:rsidRPr="000A5B09">
        <w:rPr>
          <w:rFonts w:eastAsia="Calibri" w:cs="Times New Roman"/>
          <w:noProof/>
          <w:sz w:val="24"/>
          <w:szCs w:val="24"/>
          <w:lang w:val="en-CA" w:eastAsia="en-CA"/>
        </w:rPr>
        <mc:AlternateContent>
          <mc:Choice Requires="wpg">
            <w:drawing>
              <wp:anchor distT="0" distB="0" distL="114300" distR="114300" simplePos="0" relativeHeight="251659264" behindDoc="0" locked="0" layoutInCell="1" allowOverlap="1" wp14:anchorId="724C0E18" wp14:editId="6AC5A1F5">
                <wp:simplePos x="0" y="0"/>
                <wp:positionH relativeFrom="margin">
                  <wp:posOffset>-142875</wp:posOffset>
                </wp:positionH>
                <wp:positionV relativeFrom="paragraph">
                  <wp:posOffset>40005</wp:posOffset>
                </wp:positionV>
                <wp:extent cx="6024245" cy="2124710"/>
                <wp:effectExtent l="0" t="0" r="14605" b="27940"/>
                <wp:wrapNone/>
                <wp:docPr id="2" name="Group 40"/>
                <wp:cNvGraphicFramePr/>
                <a:graphic xmlns:a="http://schemas.openxmlformats.org/drawingml/2006/main">
                  <a:graphicData uri="http://schemas.microsoft.com/office/word/2010/wordprocessingGroup">
                    <wpg:wgp>
                      <wpg:cNvGrpSpPr/>
                      <wpg:grpSpPr bwMode="auto">
                        <a:xfrm>
                          <a:off x="0" y="0"/>
                          <a:ext cx="6024245" cy="2124710"/>
                          <a:chOff x="0" y="0"/>
                          <a:chExt cx="73404" cy="29580"/>
                        </a:xfrm>
                      </wpg:grpSpPr>
                      <wps:wsp>
                        <wps:cNvPr id="15" name="Straight Arrow Connector 15"/>
                        <wps:cNvCnPr>
                          <a:cxnSpLocks noChangeShapeType="1"/>
                        </wps:cNvCnPr>
                        <wps:spPr bwMode="auto">
                          <a:xfrm>
                            <a:off x="36676" y="7283"/>
                            <a:ext cx="0" cy="4072"/>
                          </a:xfrm>
                          <a:prstGeom prst="straightConnector1">
                            <a:avLst/>
                          </a:prstGeom>
                          <a:noFill/>
                          <a:ln w="3810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6" name="Text Box 28"/>
                        <wps:cNvSpPr txBox="1">
                          <a:spLocks noChangeArrowheads="1"/>
                        </wps:cNvSpPr>
                        <wps:spPr bwMode="auto">
                          <a:xfrm>
                            <a:off x="0" y="7281"/>
                            <a:ext cx="21767" cy="9945"/>
                          </a:xfrm>
                          <a:prstGeom prst="rect">
                            <a:avLst/>
                          </a:prstGeom>
                          <a:solidFill>
                            <a:sysClr val="window" lastClr="FFFFFF">
                              <a:lumMod val="100000"/>
                              <a:lumOff val="0"/>
                            </a:sysClr>
                          </a:solidFill>
                          <a:ln w="6350">
                            <a:solidFill>
                              <a:srgbClr val="000000"/>
                            </a:solidFill>
                            <a:miter lim="800000"/>
                            <a:headEnd/>
                            <a:tailEnd/>
                          </a:ln>
                        </wps:spPr>
                        <wps:txbx>
                          <w:txbxContent>
                            <w:p w:rsidR="001618CE" w:rsidRDefault="001618CE" w:rsidP="000A5B09">
                              <w:pPr>
                                <w:spacing w:after="0" w:line="240" w:lineRule="auto"/>
                                <w:jc w:val="center"/>
                                <w:rPr>
                                  <w:rFonts w:ascii="Times New Roman" w:hAnsi="Times New Roman"/>
                                  <w:b/>
                                  <w:sz w:val="20"/>
                                </w:rPr>
                              </w:pPr>
                              <w:r>
                                <w:rPr>
                                  <w:rFonts w:ascii="Times New Roman" w:hAnsi="Times New Roman"/>
                                  <w:b/>
                                  <w:sz w:val="20"/>
                                </w:rPr>
                                <w:t>Who—Who are the Players?</w:t>
                              </w:r>
                            </w:p>
                            <w:p w:rsidR="001618CE" w:rsidRDefault="001618CE" w:rsidP="000A5B09">
                              <w:pPr>
                                <w:spacing w:after="0" w:line="240" w:lineRule="auto"/>
                                <w:jc w:val="center"/>
                                <w:rPr>
                                  <w:rFonts w:ascii="Times New Roman" w:hAnsi="Times New Roman"/>
                                  <w:sz w:val="20"/>
                                </w:rPr>
                              </w:pPr>
                              <w:r>
                                <w:rPr>
                                  <w:rFonts w:ascii="Times New Roman" w:hAnsi="Times New Roman"/>
                                  <w:sz w:val="20"/>
                                </w:rPr>
                                <w:t>Entrants, incumbents, buyers, suppliers, partners, stakeholders, regulators</w:t>
                              </w:r>
                            </w:p>
                          </w:txbxContent>
                        </wps:txbx>
                        <wps:bodyPr rot="0" vert="horz" wrap="square" lIns="91440" tIns="45720" rIns="91440" bIns="45720" anchor="t" anchorCtr="0" upright="1">
                          <a:noAutofit/>
                        </wps:bodyPr>
                      </wps:wsp>
                      <wps:wsp>
                        <wps:cNvPr id="17" name="Text Box 29"/>
                        <wps:cNvSpPr txBox="1">
                          <a:spLocks noChangeArrowheads="1"/>
                        </wps:cNvSpPr>
                        <wps:spPr bwMode="auto">
                          <a:xfrm>
                            <a:off x="51643" y="9813"/>
                            <a:ext cx="21761" cy="7413"/>
                          </a:xfrm>
                          <a:prstGeom prst="rect">
                            <a:avLst/>
                          </a:prstGeom>
                          <a:solidFill>
                            <a:sysClr val="window" lastClr="FFFFFF">
                              <a:lumMod val="100000"/>
                              <a:lumOff val="0"/>
                            </a:sysClr>
                          </a:solidFill>
                          <a:ln w="6350">
                            <a:solidFill>
                              <a:srgbClr val="000000"/>
                            </a:solidFill>
                            <a:miter lim="800000"/>
                            <a:headEnd/>
                            <a:tailEnd/>
                          </a:ln>
                        </wps:spPr>
                        <wps:txbx>
                          <w:txbxContent>
                            <w:p w:rsidR="001618CE" w:rsidRDefault="001618CE" w:rsidP="000A5B09">
                              <w:pPr>
                                <w:spacing w:after="0" w:line="240" w:lineRule="auto"/>
                                <w:jc w:val="center"/>
                                <w:rPr>
                                  <w:rFonts w:ascii="Times New Roman" w:hAnsi="Times New Roman"/>
                                  <w:b/>
                                  <w:sz w:val="20"/>
                                </w:rPr>
                              </w:pPr>
                              <w:r>
                                <w:rPr>
                                  <w:rFonts w:ascii="Times New Roman" w:hAnsi="Times New Roman"/>
                                  <w:b/>
                                  <w:sz w:val="20"/>
                                </w:rPr>
                                <w:t>How—How to Enter?</w:t>
                              </w:r>
                            </w:p>
                            <w:p w:rsidR="001618CE" w:rsidRDefault="001618CE" w:rsidP="000A5B09">
                              <w:pPr>
                                <w:spacing w:after="0" w:line="240" w:lineRule="auto"/>
                                <w:jc w:val="center"/>
                                <w:rPr>
                                  <w:rFonts w:ascii="Times New Roman" w:hAnsi="Times New Roman"/>
                                  <w:sz w:val="20"/>
                                </w:rPr>
                              </w:pPr>
                              <w:r>
                                <w:rPr>
                                  <w:rFonts w:ascii="Times New Roman" w:hAnsi="Times New Roman"/>
                                  <w:sz w:val="20"/>
                                </w:rPr>
                                <w:t>The strategies, resources, capabilities, needed to enter</w:t>
                              </w:r>
                            </w:p>
                          </w:txbxContent>
                        </wps:txbx>
                        <wps:bodyPr rot="0" vert="horz" wrap="square" lIns="91440" tIns="45720" rIns="91440" bIns="45720" anchor="t" anchorCtr="0" upright="1">
                          <a:noAutofit/>
                        </wps:bodyPr>
                      </wps:wsp>
                      <wps:wsp>
                        <wps:cNvPr id="18" name="Text Box 31"/>
                        <wps:cNvSpPr txBox="1">
                          <a:spLocks noChangeArrowheads="1"/>
                        </wps:cNvSpPr>
                        <wps:spPr bwMode="auto">
                          <a:xfrm>
                            <a:off x="7428" y="20840"/>
                            <a:ext cx="27661" cy="8737"/>
                          </a:xfrm>
                          <a:prstGeom prst="rect">
                            <a:avLst/>
                          </a:prstGeom>
                          <a:solidFill>
                            <a:sysClr val="window" lastClr="FFFFFF">
                              <a:lumMod val="100000"/>
                              <a:lumOff val="0"/>
                            </a:sysClr>
                          </a:solidFill>
                          <a:ln w="6350">
                            <a:solidFill>
                              <a:srgbClr val="000000"/>
                            </a:solidFill>
                            <a:miter lim="800000"/>
                            <a:headEnd/>
                            <a:tailEnd/>
                          </a:ln>
                        </wps:spPr>
                        <wps:txbx>
                          <w:txbxContent>
                            <w:p w:rsidR="001618CE" w:rsidRDefault="001618CE" w:rsidP="000A5B09">
                              <w:pPr>
                                <w:spacing w:after="0" w:line="240" w:lineRule="auto"/>
                                <w:jc w:val="center"/>
                                <w:rPr>
                                  <w:rFonts w:ascii="Times New Roman" w:hAnsi="Times New Roman"/>
                                  <w:b/>
                                  <w:sz w:val="20"/>
                                </w:rPr>
                              </w:pPr>
                              <w:r>
                                <w:rPr>
                                  <w:rFonts w:ascii="Times New Roman" w:hAnsi="Times New Roman"/>
                                  <w:b/>
                                  <w:sz w:val="20"/>
                                </w:rPr>
                                <w:t>Where—Where to Enter?</w:t>
                              </w:r>
                            </w:p>
                            <w:p w:rsidR="001618CE" w:rsidRDefault="001618CE" w:rsidP="000A5B09">
                              <w:pPr>
                                <w:spacing w:after="0" w:line="240" w:lineRule="auto"/>
                                <w:jc w:val="center"/>
                                <w:rPr>
                                  <w:rFonts w:ascii="Times New Roman" w:hAnsi="Times New Roman"/>
                                  <w:sz w:val="20"/>
                                </w:rPr>
                              </w:pPr>
                              <w:r>
                                <w:rPr>
                                  <w:rFonts w:ascii="Times New Roman" w:hAnsi="Times New Roman"/>
                                  <w:sz w:val="20"/>
                                </w:rPr>
                                <w:t>Entry space: Technology, product spaces, markets, industries, geographies</w:t>
                              </w:r>
                            </w:p>
                          </w:txbxContent>
                        </wps:txbx>
                        <wps:bodyPr rot="0" vert="horz" wrap="square" lIns="91440" tIns="45720" rIns="91440" bIns="45720" anchor="t" anchorCtr="0" upright="1">
                          <a:noAutofit/>
                        </wps:bodyPr>
                      </wps:wsp>
                      <wps:wsp>
                        <wps:cNvPr id="19" name="Text Box 30"/>
                        <wps:cNvSpPr txBox="1">
                          <a:spLocks noChangeArrowheads="1"/>
                        </wps:cNvSpPr>
                        <wps:spPr bwMode="auto">
                          <a:xfrm>
                            <a:off x="38296" y="20641"/>
                            <a:ext cx="25071" cy="8939"/>
                          </a:xfrm>
                          <a:prstGeom prst="rect">
                            <a:avLst/>
                          </a:prstGeom>
                          <a:solidFill>
                            <a:sysClr val="window" lastClr="FFFFFF">
                              <a:lumMod val="100000"/>
                              <a:lumOff val="0"/>
                            </a:sysClr>
                          </a:solidFill>
                          <a:ln w="6350">
                            <a:solidFill>
                              <a:srgbClr val="000000"/>
                            </a:solidFill>
                            <a:miter lim="800000"/>
                            <a:headEnd/>
                            <a:tailEnd/>
                          </a:ln>
                        </wps:spPr>
                        <wps:txbx>
                          <w:txbxContent>
                            <w:p w:rsidR="001618CE" w:rsidRDefault="001618CE" w:rsidP="000A5B09">
                              <w:pPr>
                                <w:spacing w:after="0" w:line="240" w:lineRule="auto"/>
                                <w:jc w:val="center"/>
                                <w:rPr>
                                  <w:rFonts w:ascii="Times New Roman" w:hAnsi="Times New Roman"/>
                                  <w:b/>
                                  <w:sz w:val="20"/>
                                </w:rPr>
                              </w:pPr>
                              <w:r>
                                <w:rPr>
                                  <w:rFonts w:ascii="Times New Roman" w:hAnsi="Times New Roman"/>
                                  <w:b/>
                                  <w:sz w:val="20"/>
                                </w:rPr>
                                <w:t>What—What Type of Entry?</w:t>
                              </w:r>
                            </w:p>
                            <w:p w:rsidR="001618CE" w:rsidRDefault="001618CE" w:rsidP="000A5B09">
                              <w:pPr>
                                <w:spacing w:after="0" w:line="240" w:lineRule="auto"/>
                                <w:jc w:val="center"/>
                                <w:rPr>
                                  <w:rFonts w:ascii="Times New Roman" w:hAnsi="Times New Roman"/>
                                  <w:sz w:val="20"/>
                                </w:rPr>
                              </w:pPr>
                              <w:r>
                                <w:rPr>
                                  <w:rFonts w:ascii="Times New Roman" w:hAnsi="Times New Roman"/>
                                  <w:sz w:val="20"/>
                                </w:rPr>
                                <w:t>Product entry, service entry, resource entry, business model entry</w:t>
                              </w:r>
                            </w:p>
                          </w:txbxContent>
                        </wps:txbx>
                        <wps:bodyPr rot="0" vert="horz" wrap="square" lIns="91440" tIns="45720" rIns="91440" bIns="45720" anchor="t" anchorCtr="0" upright="1">
                          <a:noAutofit/>
                        </wps:bodyPr>
                      </wps:wsp>
                      <wps:wsp>
                        <wps:cNvPr id="20" name="Text Box 32"/>
                        <wps:cNvSpPr txBox="1">
                          <a:spLocks noChangeArrowheads="1"/>
                        </wps:cNvSpPr>
                        <wps:spPr bwMode="auto">
                          <a:xfrm>
                            <a:off x="26928" y="11353"/>
                            <a:ext cx="19660" cy="3296"/>
                          </a:xfrm>
                          <a:prstGeom prst="rect">
                            <a:avLst/>
                          </a:prstGeom>
                          <a:solidFill>
                            <a:sysClr val="window" lastClr="FFFFFF">
                              <a:lumMod val="100000"/>
                              <a:lumOff val="0"/>
                            </a:sysClr>
                          </a:solidFill>
                          <a:ln w="6350">
                            <a:solidFill>
                              <a:srgbClr val="000000"/>
                            </a:solidFill>
                            <a:miter lim="800000"/>
                            <a:headEnd/>
                            <a:tailEnd/>
                          </a:ln>
                        </wps:spPr>
                        <wps:txbx>
                          <w:txbxContent>
                            <w:p w:rsidR="001618CE" w:rsidRDefault="001618CE" w:rsidP="000A5B09">
                              <w:pPr>
                                <w:spacing w:after="0" w:line="240" w:lineRule="auto"/>
                                <w:jc w:val="center"/>
                                <w:rPr>
                                  <w:rFonts w:ascii="Times New Roman" w:hAnsi="Times New Roman"/>
                                  <w:b/>
                                  <w:sz w:val="20"/>
                                </w:rPr>
                              </w:pPr>
                              <w:r>
                                <w:rPr>
                                  <w:rFonts w:ascii="Times New Roman" w:hAnsi="Times New Roman"/>
                                  <w:b/>
                                  <w:sz w:val="20"/>
                                </w:rPr>
                                <w:t>Entry Choices</w:t>
                              </w:r>
                            </w:p>
                          </w:txbxContent>
                        </wps:txbx>
                        <wps:bodyPr rot="0" vert="horz" wrap="square" lIns="91440" tIns="45720" rIns="91440" bIns="45720" anchor="t" anchorCtr="0" upright="1">
                          <a:noAutofit/>
                        </wps:bodyPr>
                      </wps:wsp>
                      <wps:wsp>
                        <wps:cNvPr id="21" name="Text Box 33"/>
                        <wps:cNvSpPr txBox="1">
                          <a:spLocks noChangeArrowheads="1"/>
                        </wps:cNvSpPr>
                        <wps:spPr bwMode="auto">
                          <a:xfrm>
                            <a:off x="25920" y="0"/>
                            <a:ext cx="21681" cy="7197"/>
                          </a:xfrm>
                          <a:prstGeom prst="rect">
                            <a:avLst/>
                          </a:prstGeom>
                          <a:solidFill>
                            <a:sysClr val="window" lastClr="FFFFFF">
                              <a:lumMod val="100000"/>
                              <a:lumOff val="0"/>
                            </a:sysClr>
                          </a:solidFill>
                          <a:ln w="6350">
                            <a:solidFill>
                              <a:srgbClr val="000000"/>
                            </a:solidFill>
                            <a:miter lim="800000"/>
                            <a:headEnd/>
                            <a:tailEnd/>
                          </a:ln>
                        </wps:spPr>
                        <wps:txbx>
                          <w:txbxContent>
                            <w:p w:rsidR="001618CE" w:rsidRDefault="001618CE" w:rsidP="000A5B09">
                              <w:pPr>
                                <w:spacing w:after="0" w:line="240" w:lineRule="auto"/>
                                <w:jc w:val="center"/>
                                <w:rPr>
                                  <w:rFonts w:ascii="Times New Roman" w:hAnsi="Times New Roman"/>
                                  <w:b/>
                                  <w:sz w:val="20"/>
                                  <w:szCs w:val="20"/>
                                </w:rPr>
                              </w:pPr>
                              <w:r>
                                <w:rPr>
                                  <w:rFonts w:ascii="Times New Roman" w:hAnsi="Times New Roman"/>
                                  <w:b/>
                                  <w:sz w:val="20"/>
                                  <w:szCs w:val="20"/>
                                </w:rPr>
                                <w:t>When—When to Enter?</w:t>
                              </w:r>
                            </w:p>
                            <w:p w:rsidR="001618CE" w:rsidRDefault="001618CE" w:rsidP="000A5B09">
                              <w:pPr>
                                <w:spacing w:after="0" w:line="240" w:lineRule="auto"/>
                                <w:jc w:val="center"/>
                                <w:rPr>
                                  <w:rFonts w:ascii="Times New Roman" w:hAnsi="Times New Roman"/>
                                  <w:sz w:val="20"/>
                                  <w:szCs w:val="20"/>
                                </w:rPr>
                              </w:pPr>
                              <w:r>
                                <w:rPr>
                                  <w:rFonts w:ascii="Times New Roman" w:hAnsi="Times New Roman"/>
                                  <w:sz w:val="20"/>
                                  <w:szCs w:val="20"/>
                                </w:rPr>
                                <w:t xml:space="preserve">First or second mover? </w:t>
                              </w:r>
                            </w:p>
                            <w:p w:rsidR="001618CE" w:rsidRDefault="001618CE" w:rsidP="000A5B09">
                              <w:pPr>
                                <w:spacing w:after="0" w:line="240" w:lineRule="auto"/>
                                <w:jc w:val="center"/>
                                <w:rPr>
                                  <w:rFonts w:ascii="Times New Roman" w:hAnsi="Times New Roman"/>
                                  <w:sz w:val="20"/>
                                  <w:szCs w:val="20"/>
                                </w:rPr>
                              </w:pPr>
                              <w:r>
                                <w:rPr>
                                  <w:rFonts w:ascii="Times New Roman" w:hAnsi="Times New Roman"/>
                                  <w:sz w:val="20"/>
                                  <w:szCs w:val="20"/>
                                </w:rPr>
                                <w:t>Early or late mover?</w:t>
                              </w:r>
                            </w:p>
                          </w:txbxContent>
                        </wps:txbx>
                        <wps:bodyPr rot="0" vert="horz" wrap="square" lIns="91440" tIns="45720" rIns="91440" bIns="45720" anchor="t" anchorCtr="0" upright="1">
                          <a:noAutofit/>
                        </wps:bodyPr>
                      </wps:wsp>
                      <wps:wsp>
                        <wps:cNvPr id="22" name="Straight Arrow Connector 22"/>
                        <wps:cNvCnPr>
                          <a:cxnSpLocks noChangeShapeType="1"/>
                        </wps:cNvCnPr>
                        <wps:spPr bwMode="auto">
                          <a:xfrm>
                            <a:off x="21704" y="12910"/>
                            <a:ext cx="5133" cy="0"/>
                          </a:xfrm>
                          <a:prstGeom prst="straightConnector1">
                            <a:avLst/>
                          </a:prstGeom>
                          <a:noFill/>
                          <a:ln w="3810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23" name="Straight Arrow Connector 23"/>
                        <wps:cNvCnPr>
                          <a:cxnSpLocks noChangeShapeType="1"/>
                        </wps:cNvCnPr>
                        <wps:spPr bwMode="auto">
                          <a:xfrm flipH="1">
                            <a:off x="46624" y="13111"/>
                            <a:ext cx="5006" cy="0"/>
                          </a:xfrm>
                          <a:prstGeom prst="straightConnector1">
                            <a:avLst/>
                          </a:prstGeom>
                          <a:noFill/>
                          <a:ln w="3810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24"/>
                        <wps:cNvCnPr>
                          <a:cxnSpLocks noChangeShapeType="1"/>
                        </wps:cNvCnPr>
                        <wps:spPr bwMode="auto">
                          <a:xfrm flipV="1">
                            <a:off x="28135" y="14819"/>
                            <a:ext cx="6224" cy="5917"/>
                          </a:xfrm>
                          <a:prstGeom prst="straightConnector1">
                            <a:avLst/>
                          </a:prstGeom>
                          <a:noFill/>
                          <a:ln w="3810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25" name="Straight Arrow Connector 25"/>
                        <wps:cNvCnPr>
                          <a:cxnSpLocks noChangeShapeType="1"/>
                        </wps:cNvCnPr>
                        <wps:spPr bwMode="auto">
                          <a:xfrm flipH="1" flipV="1">
                            <a:off x="41700" y="14718"/>
                            <a:ext cx="5627" cy="5828"/>
                          </a:xfrm>
                          <a:prstGeom prst="straightConnector1">
                            <a:avLst/>
                          </a:prstGeom>
                          <a:noFill/>
                          <a:ln w="3810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C0E18" id="Group 40" o:spid="_x0000_s1026" style="position:absolute;margin-left:-11.25pt;margin-top:3.15pt;width:474.35pt;height:167.3pt;z-index:251659264;mso-position-horizontal-relative:margin" coordsize="73404,2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">
                <v:shapetype id="_x0000_t32" coordsize="21600,21600" o:spt="32" o:oned="t" path="m,l21600,21600e" filled="f">
                  <v:path arrowok="t" fillok="f" o:connecttype="none"/>
                  <o:lock v:ext="edit" shapetype="t"/>
                </v:shapetype>
                <v:shape id="Straight Arrow Connector 15" o:spid="_x0000_s1027" type="#_x0000_t32" style="position:absolute;left:36676;top:7283;width:0;height:40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pN8IAAADbAAAADwAAAGRycy9kb3ducmV2LnhtbERPTWvCQBC9F/wPywi91Y2FBkndBBGU&#10;Hkql2kOPk+w0Ce7Oht1tTP+9KxS8zeN9zrqarBEj+dA7VrBcZCCIG6d7bhV8nXZPKxAhIms0jknB&#10;HwWoytnDGgvtLvxJ4zG2IoVwKFBBF+NQSBmajiyGhRuIE/fjvMWYoG+l9nhJ4dbI5yzLpcWeU0OH&#10;A207as7HX6sgb74Ppn6fqN5vD752uRn1x06px/m0eQURaYp38b/7Taf5L3D7JR0g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DpN8IAAADbAAAADwAAAAAAAAAAAAAA&#10;AAChAgAAZHJzL2Rvd25yZXYueG1sUEsFBgAAAAAEAAQA+QAAAJADAAAAAA==&#10;" strokeweight="3pt">
                  <v:stroke endarrow="block"/>
                </v:shape>
                <v:shapetype id="_x0000_t202" coordsize="21600,21600" o:spt="202" path="m,l,21600r21600,l21600,xe">
                  <v:stroke joinstyle="miter"/>
                  <v:path gradientshapeok="t" o:connecttype="rect"/>
                </v:shapetype>
                <v:shape id="Text Box 28" o:spid="_x0000_s1028" type="#_x0000_t202" style="position:absolute;top:7281;width:21767;height:9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sxr4A&#10;AADbAAAADwAAAGRycy9kb3ducmV2LnhtbERPTYvCMBC9L/gfwgje1lSFItW0qLAg3tRevA3N2Bab&#10;SUmytv57IyzsbR7vc7bFaDrxJOdbywoW8wQEcWV1y7WC8vrzvQbhA7LGzjIpeJGHIp98bTHTduAz&#10;PS+hFjGEfYYKmhD6TEpfNWTQz21PHLm7dQZDhK6W2uEQw00nl0mSSoMtx4YGezo0VD0uv0bBMd2H&#10;G5X6pFfLlR1KWbl755WaTcfdBkSgMfyL/9xHHeen8PklHi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i7Ma+AAAA2wAAAA8AAAAAAAAAAAAAAAAAmAIAAGRycy9kb3ducmV2&#10;LnhtbFBLBQYAAAAABAAEAPUAAACDAwAAAAA=&#10;" strokeweight=".5pt">
                  <v:textbox>
                    <w:txbxContent>
                      <w:p w:rsidR="001618CE" w:rsidRDefault="001618CE" w:rsidP="000A5B09">
                        <w:pPr>
                          <w:spacing w:after="0" w:line="240" w:lineRule="auto"/>
                          <w:jc w:val="center"/>
                          <w:rPr>
                            <w:rFonts w:ascii="Times New Roman" w:hAnsi="Times New Roman"/>
                            <w:b/>
                            <w:sz w:val="20"/>
                          </w:rPr>
                        </w:pPr>
                        <w:r>
                          <w:rPr>
                            <w:rFonts w:ascii="Times New Roman" w:hAnsi="Times New Roman"/>
                            <w:b/>
                            <w:sz w:val="20"/>
                          </w:rPr>
                          <w:t>Who—</w:t>
                        </w:r>
                        <w:proofErr w:type="gramStart"/>
                        <w:r>
                          <w:rPr>
                            <w:rFonts w:ascii="Times New Roman" w:hAnsi="Times New Roman"/>
                            <w:b/>
                            <w:sz w:val="20"/>
                          </w:rPr>
                          <w:t>Who</w:t>
                        </w:r>
                        <w:proofErr w:type="gramEnd"/>
                        <w:r>
                          <w:rPr>
                            <w:rFonts w:ascii="Times New Roman" w:hAnsi="Times New Roman"/>
                            <w:b/>
                            <w:sz w:val="20"/>
                          </w:rPr>
                          <w:t xml:space="preserve"> are the Players?</w:t>
                        </w:r>
                      </w:p>
                      <w:p w:rsidR="001618CE" w:rsidRDefault="001618CE" w:rsidP="000A5B09">
                        <w:pPr>
                          <w:spacing w:after="0" w:line="240" w:lineRule="auto"/>
                          <w:jc w:val="center"/>
                          <w:rPr>
                            <w:rFonts w:ascii="Times New Roman" w:hAnsi="Times New Roman"/>
                            <w:sz w:val="20"/>
                          </w:rPr>
                        </w:pPr>
                        <w:r>
                          <w:rPr>
                            <w:rFonts w:ascii="Times New Roman" w:hAnsi="Times New Roman"/>
                            <w:sz w:val="20"/>
                          </w:rPr>
                          <w:t>Entrants, incumbents, buyers, suppliers, partners, stakeholders, regulators</w:t>
                        </w:r>
                      </w:p>
                    </w:txbxContent>
                  </v:textbox>
                </v:shape>
                <v:shape id="Text Box 29" o:spid="_x0000_s1029" type="#_x0000_t202" style="position:absolute;left:51643;top:9813;width:21761;height:7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Xb8A&#10;AADbAAAADwAAAGRycy9kb3ducmV2LnhtbERPTWuDQBC9F/oflin0VtdEMMFmlaRQkN5qvOQ2uBOV&#10;urOyu4n233cLhd7m8T7nUK1mEndyfrSsYJOkIIg7q0fuFbTn95c9CB+QNU6WScE3eajKx4cDFtou&#10;/En3JvQihrAvUMEQwlxI6buBDPrEzsSRu1pnMEToeqkdLjHcTHKbprk0OHJsGHCmt4G6r+ZmFNT5&#10;KVyo1R8622Z2aWXnrpNX6vlpPb6CCLSGf/Gfu9Zx/g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ldvwAAANsAAAAPAAAAAAAAAAAAAAAAAJgCAABkcnMvZG93bnJl&#10;di54bWxQSwUGAAAAAAQABAD1AAAAhAMAAAAA&#10;" strokeweight=".5pt">
                  <v:textbox>
                    <w:txbxContent>
                      <w:p w:rsidR="001618CE" w:rsidRDefault="001618CE" w:rsidP="000A5B09">
                        <w:pPr>
                          <w:spacing w:after="0" w:line="240" w:lineRule="auto"/>
                          <w:jc w:val="center"/>
                          <w:rPr>
                            <w:rFonts w:ascii="Times New Roman" w:hAnsi="Times New Roman"/>
                            <w:b/>
                            <w:sz w:val="20"/>
                          </w:rPr>
                        </w:pPr>
                        <w:r>
                          <w:rPr>
                            <w:rFonts w:ascii="Times New Roman" w:hAnsi="Times New Roman"/>
                            <w:b/>
                            <w:sz w:val="20"/>
                          </w:rPr>
                          <w:t>How—How to Enter?</w:t>
                        </w:r>
                      </w:p>
                      <w:p w:rsidR="001618CE" w:rsidRDefault="001618CE" w:rsidP="000A5B09">
                        <w:pPr>
                          <w:spacing w:after="0" w:line="240" w:lineRule="auto"/>
                          <w:jc w:val="center"/>
                          <w:rPr>
                            <w:rFonts w:ascii="Times New Roman" w:hAnsi="Times New Roman"/>
                            <w:sz w:val="20"/>
                          </w:rPr>
                        </w:pPr>
                        <w:r>
                          <w:rPr>
                            <w:rFonts w:ascii="Times New Roman" w:hAnsi="Times New Roman"/>
                            <w:sz w:val="20"/>
                          </w:rPr>
                          <w:t>The strategies, resources, capabilities, needed to enter</w:t>
                        </w:r>
                      </w:p>
                    </w:txbxContent>
                  </v:textbox>
                </v:shape>
                <v:shape id="Text Box 31" o:spid="_x0000_s1030" type="#_x0000_t202" style="position:absolute;left:7428;top:20840;width:27661;height:8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dL8AA&#10;AADbAAAADwAAAGRycy9kb3ducmV2LnhtbESPQYvCQAyF74L/YYjgTaerINJ1lF1BEG9qL3sLndiW&#10;7WTKzGjrvzcHwVvCe3nvy2Y3uFY9KMTGs4GveQaKuPS24cpAcT3M1qBiQrbYeiYDT4qw245HG8yt&#10;7/lMj0uqlIRwzNFAnVKXax3LmhzGue+IRbv54DDJGiptA/YS7lq9yLKVdtiwNNTY0b6m8v9ydwaO&#10;q9/0R4U92eVi6ftCl+HWRmOmk+HnG1SiIX3M7+ujFXyBlV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HdL8AAAADbAAAADwAAAAAAAAAAAAAAAACYAgAAZHJzL2Rvd25y&#10;ZXYueG1sUEsFBgAAAAAEAAQA9QAAAIUDAAAAAA==&#10;" strokeweight=".5pt">
                  <v:textbox>
                    <w:txbxContent>
                      <w:p w:rsidR="001618CE" w:rsidRDefault="001618CE" w:rsidP="000A5B09">
                        <w:pPr>
                          <w:spacing w:after="0" w:line="240" w:lineRule="auto"/>
                          <w:jc w:val="center"/>
                          <w:rPr>
                            <w:rFonts w:ascii="Times New Roman" w:hAnsi="Times New Roman"/>
                            <w:b/>
                            <w:sz w:val="20"/>
                          </w:rPr>
                        </w:pPr>
                        <w:r>
                          <w:rPr>
                            <w:rFonts w:ascii="Times New Roman" w:hAnsi="Times New Roman"/>
                            <w:b/>
                            <w:sz w:val="20"/>
                          </w:rPr>
                          <w:t>Where—Where to Enter?</w:t>
                        </w:r>
                      </w:p>
                      <w:p w:rsidR="001618CE" w:rsidRDefault="001618CE" w:rsidP="000A5B09">
                        <w:pPr>
                          <w:spacing w:after="0" w:line="240" w:lineRule="auto"/>
                          <w:jc w:val="center"/>
                          <w:rPr>
                            <w:rFonts w:ascii="Times New Roman" w:hAnsi="Times New Roman"/>
                            <w:sz w:val="20"/>
                          </w:rPr>
                        </w:pPr>
                        <w:r>
                          <w:rPr>
                            <w:rFonts w:ascii="Times New Roman" w:hAnsi="Times New Roman"/>
                            <w:sz w:val="20"/>
                          </w:rPr>
                          <w:t>Entry space: Technology, product spaces, markets, industries, geographies</w:t>
                        </w:r>
                      </w:p>
                    </w:txbxContent>
                  </v:textbox>
                </v:shape>
                <v:shape id="Text Box 30" o:spid="_x0000_s1031" type="#_x0000_t202" style="position:absolute;left:38296;top:20641;width:25071;height:8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4tL8A&#10;AADbAAAADwAAAGRycy9kb3ducmV2LnhtbERPTWuDQBC9F/oflin0VtdEkMRmlaRQkN5qvOQ2uBOV&#10;urOyu4n233cLhd7m8T7nUK1mEndyfrSsYJOkIIg7q0fuFbTn95cdCB+QNU6WScE3eajKx4cDFtou&#10;/En3JvQihrAvUMEQwlxI6buBDPrEzsSRu1pnMEToeqkdLjHcTHKbprk0OHJsGHCmt4G6r+ZmFNT5&#10;KVyo1R8622Z2aWXnrpNX6vlpPb6CCLSGf/Gfu9Zx/h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i0vwAAANsAAAAPAAAAAAAAAAAAAAAAAJgCAABkcnMvZG93bnJl&#10;di54bWxQSwUGAAAAAAQABAD1AAAAhAMAAAAA&#10;" strokeweight=".5pt">
                  <v:textbox>
                    <w:txbxContent>
                      <w:p w:rsidR="001618CE" w:rsidRDefault="001618CE" w:rsidP="000A5B09">
                        <w:pPr>
                          <w:spacing w:after="0" w:line="240" w:lineRule="auto"/>
                          <w:jc w:val="center"/>
                          <w:rPr>
                            <w:rFonts w:ascii="Times New Roman" w:hAnsi="Times New Roman"/>
                            <w:b/>
                            <w:sz w:val="20"/>
                          </w:rPr>
                        </w:pPr>
                        <w:r>
                          <w:rPr>
                            <w:rFonts w:ascii="Times New Roman" w:hAnsi="Times New Roman"/>
                            <w:b/>
                            <w:sz w:val="20"/>
                          </w:rPr>
                          <w:t>What—What Type of Entry?</w:t>
                        </w:r>
                      </w:p>
                      <w:p w:rsidR="001618CE" w:rsidRDefault="001618CE" w:rsidP="000A5B09">
                        <w:pPr>
                          <w:spacing w:after="0" w:line="240" w:lineRule="auto"/>
                          <w:jc w:val="center"/>
                          <w:rPr>
                            <w:rFonts w:ascii="Times New Roman" w:hAnsi="Times New Roman"/>
                            <w:sz w:val="20"/>
                          </w:rPr>
                        </w:pPr>
                        <w:r>
                          <w:rPr>
                            <w:rFonts w:ascii="Times New Roman" w:hAnsi="Times New Roman"/>
                            <w:sz w:val="20"/>
                          </w:rPr>
                          <w:t>Product entry, service entry, resource entry, business model entry</w:t>
                        </w:r>
                      </w:p>
                    </w:txbxContent>
                  </v:textbox>
                </v:shape>
                <v:shape id="Text Box 32" o:spid="_x0000_s1032" type="#_x0000_t202" style="position:absolute;left:26928;top:11353;width:19660;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blLoA&#10;AADbAAAADwAAAGRycy9kb3ducmV2LnhtbERPvQrCMBDeBd8hnOCmqRVEqlFUEMRN7eJ2NGdbbC4l&#10;iba+vRkEx4/vf73tTSPe5HxtWcFsmoAgLqyuuVSQ346TJQgfkDU2lknBhzxsN8PBGjNtO77Q+xpK&#10;EUPYZ6igCqHNpPRFRQb91LbEkXtYZzBE6EqpHXYx3DQyTZKFNFhzbKiwpUNFxfP6MgpOi324U67P&#10;ep7O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asblLoAAADbAAAADwAAAAAAAAAAAAAAAACYAgAAZHJzL2Rvd25yZXYueG1s&#10;UEsFBgAAAAAEAAQA9QAAAH8DAAAAAA==&#10;" strokeweight=".5pt">
                  <v:textbox>
                    <w:txbxContent>
                      <w:p w:rsidR="001618CE" w:rsidRDefault="001618CE" w:rsidP="000A5B09">
                        <w:pPr>
                          <w:spacing w:after="0" w:line="240" w:lineRule="auto"/>
                          <w:jc w:val="center"/>
                          <w:rPr>
                            <w:rFonts w:ascii="Times New Roman" w:hAnsi="Times New Roman"/>
                            <w:b/>
                            <w:sz w:val="20"/>
                          </w:rPr>
                        </w:pPr>
                        <w:r>
                          <w:rPr>
                            <w:rFonts w:ascii="Times New Roman" w:hAnsi="Times New Roman"/>
                            <w:b/>
                            <w:sz w:val="20"/>
                          </w:rPr>
                          <w:t>Entry Choices</w:t>
                        </w:r>
                      </w:p>
                    </w:txbxContent>
                  </v:textbox>
                </v:shape>
                <v:shape id="Text Box 33" o:spid="_x0000_s1033" type="#_x0000_t202" style="position:absolute;left:25920;width:21681;height:7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D78A&#10;AADbAAAADwAAAGRycy9kb3ducmV2LnhtbESPQYvCMBSE74L/ITzBm02tIFKNosKCeFN78fZonm2x&#10;eSlJ1tZ/b4SFPQ4z8w2z2Q2mFS9yvrGsYJ6kIIhLqxuuFBS3n9kKhA/IGlvLpOBNHnbb8WiDubY9&#10;X+h1DZWIEPY5KqhD6HIpfVmTQZ/Yjjh6D+sMhihdJbXDPsJNK7M0XUqDDceFGjs61lQ+r79GwWl5&#10;CHcq9FkvsoXtC1m6R+uVmk6G/RpEoCH8h//aJ60gm8P3S/w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574PvwAAANsAAAAPAAAAAAAAAAAAAAAAAJgCAABkcnMvZG93bnJl&#10;di54bWxQSwUGAAAAAAQABAD1AAAAhAMAAAAA&#10;" strokeweight=".5pt">
                  <v:textbox>
                    <w:txbxContent>
                      <w:p w:rsidR="001618CE" w:rsidRDefault="001618CE" w:rsidP="000A5B09">
                        <w:pPr>
                          <w:spacing w:after="0" w:line="240" w:lineRule="auto"/>
                          <w:jc w:val="center"/>
                          <w:rPr>
                            <w:rFonts w:ascii="Times New Roman" w:hAnsi="Times New Roman"/>
                            <w:b/>
                            <w:sz w:val="20"/>
                            <w:szCs w:val="20"/>
                          </w:rPr>
                        </w:pPr>
                        <w:r>
                          <w:rPr>
                            <w:rFonts w:ascii="Times New Roman" w:hAnsi="Times New Roman"/>
                            <w:b/>
                            <w:sz w:val="20"/>
                            <w:szCs w:val="20"/>
                          </w:rPr>
                          <w:t>When—When to Enter?</w:t>
                        </w:r>
                      </w:p>
                      <w:p w:rsidR="001618CE" w:rsidRDefault="001618CE" w:rsidP="000A5B09">
                        <w:pPr>
                          <w:spacing w:after="0" w:line="240" w:lineRule="auto"/>
                          <w:jc w:val="center"/>
                          <w:rPr>
                            <w:rFonts w:ascii="Times New Roman" w:hAnsi="Times New Roman"/>
                            <w:sz w:val="20"/>
                            <w:szCs w:val="20"/>
                          </w:rPr>
                        </w:pPr>
                        <w:r>
                          <w:rPr>
                            <w:rFonts w:ascii="Times New Roman" w:hAnsi="Times New Roman"/>
                            <w:sz w:val="20"/>
                            <w:szCs w:val="20"/>
                          </w:rPr>
                          <w:t xml:space="preserve">First or second mover? </w:t>
                        </w:r>
                      </w:p>
                      <w:p w:rsidR="001618CE" w:rsidRDefault="001618CE" w:rsidP="000A5B09">
                        <w:pPr>
                          <w:spacing w:after="0" w:line="240" w:lineRule="auto"/>
                          <w:jc w:val="center"/>
                          <w:rPr>
                            <w:rFonts w:ascii="Times New Roman" w:hAnsi="Times New Roman"/>
                            <w:sz w:val="20"/>
                            <w:szCs w:val="20"/>
                          </w:rPr>
                        </w:pPr>
                        <w:r>
                          <w:rPr>
                            <w:rFonts w:ascii="Times New Roman" w:hAnsi="Times New Roman"/>
                            <w:sz w:val="20"/>
                            <w:szCs w:val="20"/>
                          </w:rPr>
                          <w:t>Early or late mover?</w:t>
                        </w:r>
                      </w:p>
                    </w:txbxContent>
                  </v:textbox>
                </v:shape>
                <v:shape id="Straight Arrow Connector 22" o:spid="_x0000_s1034" type="#_x0000_t32" style="position:absolute;left:21704;top:12910;width:5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W7/sMAAADbAAAADwAAAGRycy9kb3ducmV2LnhtbESPQWvCQBSE74L/YXlCb7oxh1BSVxFB&#10;8VAqWg89vmSfSXD3bdjdxvTfd4VCj8PMfMOsNqM1YiAfOscKlosMBHHtdMeNguvnfv4KIkRkjcYx&#10;KfihAJv1dLLCUrsHn2m4xEYkCIcSFbQx9qWUoW7JYli4njh5N+ctxiR9I7XHR4JbI/MsK6TFjtNC&#10;iz3tWqrvl2+roKi/TqZ6H6k67E6+coUZ9MdeqZfZuH0DEWmM/+G/9lEryHN4fk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1u/7DAAAA2wAAAA8AAAAAAAAAAAAA&#10;AAAAoQIAAGRycy9kb3ducmV2LnhtbFBLBQYAAAAABAAEAPkAAACRAwAAAAA=&#10;" strokeweight="3pt">
                  <v:stroke endarrow="block"/>
                </v:shape>
                <v:shape id="Straight Arrow Connector 23" o:spid="_x0000_s1035" type="#_x0000_t32" style="position:absolute;left:46624;top:13111;width:50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tZdcUAAADbAAAADwAAAGRycy9kb3ducmV2LnhtbESPQWsCMRSE74L/ITzBW82q1LZboxSl&#10;oD1sW1vE42Pzurt08xKSqOu/b4SCx2FmvmHmy8604kQ+NJYVjEcZCOLS6oYrBd9fr3ePIEJE1tha&#10;JgUXCrBc9HtzzLU98yeddrESCcIhRwV1jC6XMpQ1GQwj64iT92O9wZikr6T2eE5w08pJls2kwYbT&#10;Qo2OVjWVv7ujUbCdva+fDmP/YIo93m/ePoqjc4VSw0H38gwiUhdv4f/2RiuYTOH6Jf0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tZdcUAAADbAAAADwAAAAAAAAAA&#10;AAAAAAChAgAAZHJzL2Rvd25yZXYueG1sUEsFBgAAAAAEAAQA+QAAAJMDAAAAAA==&#10;" strokeweight="3pt">
                  <v:stroke endarrow="block"/>
                </v:shape>
                <v:shape id="Straight Arrow Connector 24" o:spid="_x0000_s1036" type="#_x0000_t32" style="position:absolute;left:28135;top:14819;width:6224;height:59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LBAcUAAADbAAAADwAAAGRycy9kb3ducmV2LnhtbESPQWsCMRSE74L/ITzBW80q1rZboxSl&#10;oD1sW1vE42Pzurt08xKSqOu/b4SCx2FmvmHmy8604kQ+NJYVjEcZCOLS6oYrBd9fr3ePIEJE1tha&#10;JgUXCrBc9HtzzLU98yeddrESCcIhRwV1jC6XMpQ1GQwj64iT92O9wZikr6T2eE5w08pJls2kwYbT&#10;Qo2OVjWVv7ujUbCdva+fDmP/YIo93m/ePoqjc4VSw0H38gwiUhdv4f/2RiuYTOH6Jf0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LBAcUAAADbAAAADwAAAAAAAAAA&#10;AAAAAAChAgAAZHJzL2Rvd25yZXYueG1sUEsFBgAAAAAEAAQA+QAAAJMDAAAAAA==&#10;" strokeweight="3pt">
                  <v:stroke endarrow="block"/>
                </v:shape>
                <v:shape id="Straight Arrow Connector 25" o:spid="_x0000_s1037" type="#_x0000_t32" style="position:absolute;left:41700;top:14718;width:5627;height:58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PqzMMAAADbAAAADwAAAGRycy9kb3ducmV2LnhtbESPwW7CMBBE70j9B2srcSNOqYqqFBOh&#10;iko90EOgH7C1lyQkXgfbhfD3uFIljqOZeaNZlqPtxZl8aB0reMpyEMTamZZrBd/7j9kriBCRDfaO&#10;ScGVApSrh8kSC+MuXNF5F2uRIBwKVNDEOBRSBt2QxZC5gTh5B+ctxiR9LY3HS4LbXs7zfCEttpwW&#10;GhzovSHd7X6tgu7r54jPfrvR5rQ2vgpaVzYoNX0c128gIo3xHv5vfxoF8x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j6szDAAAA2wAAAA8AAAAAAAAAAAAA&#10;AAAAoQIAAGRycy9kb3ducmV2LnhtbFBLBQYAAAAABAAEAPkAAACRAwAAAAA=&#10;" strokeweight="3pt">
                  <v:stroke endarrow="block"/>
                </v:shape>
                <w10:wrap anchorx="margin"/>
              </v:group>
            </w:pict>
          </mc:Fallback>
        </mc:AlternateContent>
      </w: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Pr="000A5B09" w:rsidRDefault="000A5B09" w:rsidP="000A5B09">
      <w:pPr>
        <w:spacing w:after="0" w:line="240" w:lineRule="auto"/>
        <w:rPr>
          <w:rFonts w:cs="Times New Roman"/>
        </w:rPr>
      </w:pPr>
    </w:p>
    <w:p w:rsidR="000A5B09" w:rsidRDefault="000A5B09" w:rsidP="000A5B09">
      <w:pPr>
        <w:spacing w:after="0"/>
        <w:rPr>
          <w:rFonts w:cs="Times New Roman"/>
          <w:b/>
        </w:rPr>
      </w:pPr>
    </w:p>
    <w:p w:rsidR="000A5B09" w:rsidRPr="000A5B09" w:rsidRDefault="000A5B09" w:rsidP="00250781">
      <w:pPr>
        <w:spacing w:after="80"/>
        <w:rPr>
          <w:rFonts w:cs="Times New Roman"/>
          <w:b/>
        </w:rPr>
      </w:pPr>
      <w:r w:rsidRPr="000A5B09">
        <w:rPr>
          <w:rFonts w:cs="Times New Roman"/>
          <w:b/>
        </w:rPr>
        <w:t>REPRESENTATIVE QUESTIONS</w:t>
      </w:r>
    </w:p>
    <w:p w:rsidR="000A5B09" w:rsidRDefault="000A5B09" w:rsidP="000A5B09">
      <w:pPr>
        <w:spacing w:after="0"/>
        <w:rPr>
          <w:rFonts w:cs="Times New Roman"/>
        </w:rPr>
      </w:pPr>
      <w:r w:rsidRPr="000A5B09">
        <w:rPr>
          <w:rFonts w:cs="Times New Roman"/>
        </w:rPr>
        <w:t xml:space="preserve">This Special Issue calls for scholarship that is less concerned about disciplinary boundaries and more inspired to develop foundational knowledge that sheds light on big, unexplored questions related to </w:t>
      </w:r>
      <w:r w:rsidRPr="000A5B09">
        <w:rPr>
          <w:rFonts w:cs="Times New Roman"/>
          <w:noProof/>
        </w:rPr>
        <w:t>market</w:t>
      </w:r>
      <w:r w:rsidRPr="000A5B09">
        <w:rPr>
          <w:rFonts w:cs="Times New Roman"/>
        </w:rPr>
        <w:t xml:space="preserve"> entry.  A suggestive, but not exhaustive list of relevant research questions and topics includes:</w:t>
      </w:r>
    </w:p>
    <w:p w:rsidR="000A5B09" w:rsidRPr="000A5B09" w:rsidRDefault="000A5B09" w:rsidP="000A5B09">
      <w:pPr>
        <w:spacing w:after="0"/>
        <w:rPr>
          <w:rFonts w:cs="Times New Roman"/>
        </w:rPr>
      </w:pP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t xml:space="preserve">What are the most useful conceptual models and empirical </w:t>
      </w:r>
      <w:r w:rsidRPr="000A5B09">
        <w:rPr>
          <w:rFonts w:cs="Times New Roman"/>
          <w:i/>
          <w:noProof/>
        </w:rPr>
        <w:t>analyses</w:t>
      </w:r>
      <w:r w:rsidRPr="000A5B09">
        <w:rPr>
          <w:rFonts w:cs="Times New Roman"/>
          <w:i/>
        </w:rPr>
        <w:t xml:space="preserve"> of the antecedents, consequences, and contingencies associated with the processes of entry?</w:t>
      </w: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t xml:space="preserve">How do the cognitive biases and decision heuristics of entrepreneurs and executives influence </w:t>
      </w:r>
      <w:r w:rsidRPr="000A5B09">
        <w:rPr>
          <w:rFonts w:cs="Times New Roman"/>
          <w:i/>
          <w:noProof/>
        </w:rPr>
        <w:t>which opportunities related</w:t>
      </w:r>
      <w:r w:rsidRPr="000A5B09">
        <w:rPr>
          <w:rFonts w:cs="Times New Roman"/>
          <w:i/>
        </w:rPr>
        <w:t xml:space="preserve"> to market entry are discovered and how are they evaluated and exploited?</w:t>
      </w: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t>What role do stakeholders, ecosystems, and networks play in entry processes?</w:t>
      </w: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t xml:space="preserve">How </w:t>
      </w:r>
      <w:r w:rsidRPr="000A5B09">
        <w:rPr>
          <w:rFonts w:cs="Times New Roman"/>
          <w:i/>
          <w:noProof/>
        </w:rPr>
        <w:t>do emotional</w:t>
      </w:r>
      <w:r w:rsidRPr="000A5B09">
        <w:rPr>
          <w:rFonts w:cs="Times New Roman"/>
          <w:i/>
        </w:rPr>
        <w:t xml:space="preserve"> and cognitive processes such as passion, perseverance, or escalation of commitment influence the process of market entry?</w:t>
      </w:r>
    </w:p>
    <w:p w:rsidR="000A5B09" w:rsidRPr="000A5B09" w:rsidRDefault="000A5B09" w:rsidP="00614D56">
      <w:pPr>
        <w:pStyle w:val="ListParagraph"/>
        <w:numPr>
          <w:ilvl w:val="0"/>
          <w:numId w:val="2"/>
        </w:numPr>
        <w:spacing w:after="0"/>
        <w:ind w:left="709" w:hanging="283"/>
        <w:rPr>
          <w:rFonts w:cs="Times New Roman"/>
        </w:rPr>
      </w:pPr>
      <w:r w:rsidRPr="000A5B09">
        <w:rPr>
          <w:rFonts w:cs="Times New Roman"/>
          <w:i/>
        </w:rPr>
        <w:t>How do innovations, including business model and disruptive innovations, influence entry</w:t>
      </w:r>
      <w:r w:rsidRPr="000A5B09">
        <w:rPr>
          <w:rFonts w:cs="Times New Roman"/>
        </w:rPr>
        <w:t>?</w:t>
      </w: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t>What roles do human resource practices play in the development and implementation of entry?</w:t>
      </w: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t xml:space="preserve">Does de novo entry require different resource configurations than </w:t>
      </w:r>
      <w:r w:rsidRPr="000A5B09">
        <w:rPr>
          <w:rFonts w:cs="Times New Roman"/>
          <w:i/>
          <w:noProof/>
        </w:rPr>
        <w:t>de alio</w:t>
      </w:r>
      <w:r w:rsidRPr="000A5B09">
        <w:rPr>
          <w:rFonts w:cs="Times New Roman"/>
          <w:i/>
        </w:rPr>
        <w:t xml:space="preserve"> entry</w:t>
      </w:r>
      <w:r w:rsidRPr="000A5B09">
        <w:rPr>
          <w:rFonts w:cs="Times New Roman"/>
        </w:rPr>
        <w:t xml:space="preserve">? </w:t>
      </w:r>
      <w:r w:rsidRPr="000A5B09">
        <w:rPr>
          <w:rFonts w:cs="Times New Roman"/>
          <w:i/>
        </w:rPr>
        <w:t xml:space="preserve">How and why do these differences matter? Does this change </w:t>
      </w:r>
      <w:r w:rsidRPr="000A5B09">
        <w:rPr>
          <w:rFonts w:cs="Times New Roman"/>
          <w:i/>
          <w:noProof/>
        </w:rPr>
        <w:t>depend</w:t>
      </w:r>
      <w:r w:rsidRPr="000A5B09">
        <w:rPr>
          <w:rFonts w:cs="Times New Roman"/>
          <w:i/>
        </w:rPr>
        <w:t xml:space="preserve"> upon entry context?</w:t>
      </w: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lastRenderedPageBreak/>
        <w:t xml:space="preserve">How does entry strategy differ when startups are not constituted as vehicles of private wealth </w:t>
      </w:r>
      <w:r w:rsidRPr="000A5B09">
        <w:rPr>
          <w:rFonts w:cs="Times New Roman"/>
          <w:i/>
          <w:noProof/>
        </w:rPr>
        <w:t>accumulation,</w:t>
      </w:r>
      <w:r w:rsidRPr="000A5B09">
        <w:rPr>
          <w:rFonts w:cs="Times New Roman"/>
          <w:i/>
        </w:rPr>
        <w:t xml:space="preserve"> but are owned by communities of members or governments?</w:t>
      </w: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t>How do social entrepreneurs and cause-based ventures enter markets that are dominated by established firms? What types of competitive responses occur contingent upon the portfolio make-up of firms and non-firms within the market?</w:t>
      </w: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t xml:space="preserve">In the case of imminent failure, how might an entrant effectively reverse its entry course? </w:t>
      </w: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t>What antecedents, consequences, and contingencies predict “re-entry” into a market that was previously abandoned? To what extent does “re-entry” differ across a diverse set of entry types as compared to initial entry?</w:t>
      </w: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t>How can research from other disciplines, for example, supply chain management, finance, accounting, governance, marketing, public policy, and/or sociology—expand theory in the areas of market entry?</w:t>
      </w:r>
    </w:p>
    <w:p w:rsidR="000A5B09" w:rsidRPr="000A5B09" w:rsidRDefault="000A5B09" w:rsidP="00614D56">
      <w:pPr>
        <w:pStyle w:val="ListParagraph"/>
        <w:numPr>
          <w:ilvl w:val="0"/>
          <w:numId w:val="2"/>
        </w:numPr>
        <w:spacing w:after="0"/>
        <w:ind w:left="709" w:hanging="283"/>
        <w:rPr>
          <w:rFonts w:cs="Times New Roman"/>
          <w:i/>
        </w:rPr>
      </w:pPr>
      <w:r w:rsidRPr="000A5B09">
        <w:rPr>
          <w:rFonts w:cs="Times New Roman"/>
          <w:i/>
        </w:rPr>
        <w:t>How do the interactions between a firm’s governance and its entry strategies affect performance and other outcomes?</w:t>
      </w:r>
    </w:p>
    <w:p w:rsidR="000A5B09" w:rsidRPr="000A5B09" w:rsidRDefault="000A5B09" w:rsidP="000A5B09">
      <w:pPr>
        <w:spacing w:after="0"/>
        <w:rPr>
          <w:rFonts w:cs="Times New Roman"/>
        </w:rPr>
      </w:pPr>
    </w:p>
    <w:p w:rsidR="000A5B09" w:rsidRPr="000A5B09" w:rsidRDefault="000A5B09" w:rsidP="000A5B09">
      <w:pPr>
        <w:spacing w:after="0"/>
        <w:rPr>
          <w:rFonts w:cs="Times New Roman"/>
        </w:rPr>
      </w:pPr>
    </w:p>
    <w:p w:rsidR="000A5B09" w:rsidRPr="000A5B09" w:rsidRDefault="000A5B09" w:rsidP="00250781">
      <w:pPr>
        <w:pStyle w:val="Default"/>
        <w:spacing w:after="80" w:line="276" w:lineRule="auto"/>
        <w:rPr>
          <w:rFonts w:asciiTheme="minorHAnsi" w:hAnsiTheme="minorHAnsi"/>
          <w:color w:val="auto"/>
          <w:sz w:val="22"/>
          <w:szCs w:val="22"/>
        </w:rPr>
      </w:pPr>
      <w:r w:rsidRPr="000A5B09">
        <w:rPr>
          <w:rFonts w:asciiTheme="minorHAnsi" w:hAnsiTheme="minorHAnsi"/>
          <w:b/>
          <w:bCs/>
          <w:color w:val="auto"/>
          <w:sz w:val="22"/>
          <w:szCs w:val="22"/>
        </w:rPr>
        <w:t>SUBMISSION PROCESS AND DEADLINES</w:t>
      </w:r>
    </w:p>
    <w:p w:rsidR="000A5B09" w:rsidRPr="000A5B09" w:rsidRDefault="000A5B09" w:rsidP="000A5B09">
      <w:pPr>
        <w:pStyle w:val="Default"/>
        <w:spacing w:line="276" w:lineRule="auto"/>
        <w:rPr>
          <w:rFonts w:asciiTheme="minorHAnsi" w:hAnsiTheme="minorHAnsi"/>
          <w:color w:val="auto"/>
          <w:sz w:val="22"/>
          <w:szCs w:val="22"/>
        </w:rPr>
      </w:pPr>
      <w:r w:rsidRPr="000A5B09">
        <w:rPr>
          <w:rFonts w:asciiTheme="minorHAnsi" w:hAnsiTheme="minorHAnsi"/>
          <w:color w:val="auto"/>
          <w:sz w:val="22"/>
          <w:szCs w:val="22"/>
        </w:rPr>
        <w:t xml:space="preserve">The entire team of the guest editors </w:t>
      </w:r>
      <w:r w:rsidRPr="000A5B09">
        <w:rPr>
          <w:rFonts w:asciiTheme="minorHAnsi" w:hAnsiTheme="minorHAnsi"/>
          <w:noProof/>
          <w:color w:val="auto"/>
          <w:sz w:val="22"/>
          <w:szCs w:val="22"/>
        </w:rPr>
        <w:t>welcomes inquiries</w:t>
      </w:r>
      <w:r w:rsidRPr="000A5B09">
        <w:rPr>
          <w:rFonts w:asciiTheme="minorHAnsi" w:hAnsiTheme="minorHAnsi"/>
          <w:color w:val="auto"/>
          <w:sz w:val="22"/>
          <w:szCs w:val="22"/>
        </w:rPr>
        <w:t xml:space="preserve"> related to proposed topics.  </w:t>
      </w:r>
    </w:p>
    <w:p w:rsidR="000A5B09" w:rsidRPr="000A5B09" w:rsidRDefault="000A5B09" w:rsidP="000A5B09">
      <w:pPr>
        <w:pStyle w:val="Default"/>
        <w:spacing w:line="276" w:lineRule="auto"/>
        <w:rPr>
          <w:rFonts w:asciiTheme="minorHAnsi" w:hAnsiTheme="minorHAnsi"/>
          <w:color w:val="auto"/>
          <w:sz w:val="22"/>
          <w:szCs w:val="22"/>
        </w:rPr>
      </w:pPr>
      <w:r w:rsidRPr="000A5B09">
        <w:rPr>
          <w:rFonts w:asciiTheme="minorHAnsi" w:hAnsiTheme="minorHAnsi"/>
          <w:color w:val="auto"/>
          <w:sz w:val="22"/>
          <w:szCs w:val="22"/>
        </w:rPr>
        <w:t xml:space="preserve">Papers will be reviewed following the </w:t>
      </w:r>
      <w:r w:rsidRPr="000A5B09">
        <w:rPr>
          <w:rFonts w:asciiTheme="minorHAnsi" w:hAnsiTheme="minorHAnsi"/>
          <w:i/>
          <w:color w:val="auto"/>
          <w:sz w:val="22"/>
          <w:szCs w:val="22"/>
        </w:rPr>
        <w:t>JMS</w:t>
      </w:r>
      <w:r w:rsidRPr="000A5B09">
        <w:rPr>
          <w:rFonts w:asciiTheme="minorHAnsi" w:hAnsiTheme="minorHAnsi"/>
          <w:color w:val="auto"/>
          <w:sz w:val="22"/>
          <w:szCs w:val="22"/>
        </w:rPr>
        <w:t xml:space="preserve"> double-blind review process. </w:t>
      </w:r>
    </w:p>
    <w:p w:rsidR="000A5B09" w:rsidRPr="000A5B09" w:rsidRDefault="000A5B09" w:rsidP="000A5B09">
      <w:pPr>
        <w:pStyle w:val="Default"/>
        <w:spacing w:line="276" w:lineRule="auto"/>
        <w:rPr>
          <w:rFonts w:asciiTheme="minorHAnsi" w:hAnsiTheme="minorHAnsi"/>
          <w:color w:val="auto"/>
          <w:sz w:val="22"/>
          <w:szCs w:val="22"/>
        </w:rPr>
      </w:pPr>
      <w:r w:rsidRPr="000A5B09">
        <w:rPr>
          <w:rFonts w:asciiTheme="minorHAnsi" w:hAnsiTheme="minorHAnsi"/>
          <w:color w:val="auto"/>
          <w:sz w:val="22"/>
          <w:szCs w:val="22"/>
        </w:rPr>
        <w:t xml:space="preserve">Papers should be prepared using the </w:t>
      </w:r>
      <w:r w:rsidRPr="000A5B09">
        <w:rPr>
          <w:rFonts w:asciiTheme="minorHAnsi" w:hAnsiTheme="minorHAnsi"/>
          <w:i/>
          <w:color w:val="auto"/>
          <w:sz w:val="22"/>
          <w:szCs w:val="22"/>
        </w:rPr>
        <w:t>JMS Guidelines</w:t>
      </w:r>
      <w:r w:rsidRPr="000A5B09">
        <w:rPr>
          <w:rFonts w:asciiTheme="minorHAnsi" w:hAnsiTheme="minorHAnsi"/>
          <w:color w:val="auto"/>
          <w:sz w:val="22"/>
          <w:szCs w:val="22"/>
        </w:rPr>
        <w:t xml:space="preserve"> and should be submitted by </w:t>
      </w:r>
      <w:r w:rsidRPr="000A5B09">
        <w:rPr>
          <w:rFonts w:asciiTheme="minorHAnsi" w:hAnsiTheme="minorHAnsi"/>
          <w:b/>
          <w:color w:val="auto"/>
          <w:sz w:val="22"/>
          <w:szCs w:val="22"/>
        </w:rPr>
        <w:t>December 1</w:t>
      </w:r>
      <w:r w:rsidRPr="000A5B09">
        <w:rPr>
          <w:rFonts w:asciiTheme="minorHAnsi" w:hAnsiTheme="minorHAnsi"/>
          <w:b/>
          <w:color w:val="auto"/>
          <w:sz w:val="22"/>
          <w:szCs w:val="22"/>
          <w:vertAlign w:val="superscript"/>
        </w:rPr>
        <w:t>st</w:t>
      </w:r>
      <w:r w:rsidRPr="000A5B09">
        <w:rPr>
          <w:rFonts w:asciiTheme="minorHAnsi" w:hAnsiTheme="minorHAnsi"/>
          <w:b/>
          <w:color w:val="auto"/>
          <w:sz w:val="22"/>
          <w:szCs w:val="22"/>
        </w:rPr>
        <w:t>, 2016</w:t>
      </w:r>
      <w:r w:rsidRPr="000A5B09">
        <w:rPr>
          <w:rFonts w:asciiTheme="minorHAnsi" w:hAnsiTheme="minorHAnsi"/>
          <w:color w:val="auto"/>
          <w:sz w:val="22"/>
          <w:szCs w:val="22"/>
        </w:rPr>
        <w:t xml:space="preserve"> to </w:t>
      </w:r>
      <w:hyperlink r:id="rId13" w:history="1">
        <w:r w:rsidRPr="000A5B09">
          <w:rPr>
            <w:rStyle w:val="Hyperlink"/>
            <w:rFonts w:asciiTheme="minorHAnsi" w:hAnsiTheme="minorHAnsi"/>
            <w:sz w:val="22"/>
            <w:szCs w:val="22"/>
          </w:rPr>
          <w:t>gid.markman@gmail.com</w:t>
        </w:r>
      </w:hyperlink>
      <w:r w:rsidRPr="000A5B09">
        <w:rPr>
          <w:rFonts w:asciiTheme="minorHAnsi" w:hAnsiTheme="minorHAnsi"/>
          <w:color w:val="auto"/>
          <w:sz w:val="22"/>
          <w:szCs w:val="22"/>
        </w:rPr>
        <w:t>.</w:t>
      </w:r>
    </w:p>
    <w:p w:rsidR="000A5B09" w:rsidRPr="000A5B09" w:rsidRDefault="000A5B09" w:rsidP="000A5B09">
      <w:pPr>
        <w:pStyle w:val="Default"/>
        <w:spacing w:line="276" w:lineRule="auto"/>
        <w:rPr>
          <w:rFonts w:asciiTheme="minorHAnsi" w:hAnsiTheme="minorHAnsi"/>
          <w:sz w:val="23"/>
          <w:szCs w:val="23"/>
        </w:rPr>
      </w:pPr>
    </w:p>
    <w:p w:rsidR="00A21C1B" w:rsidRDefault="000A5B09" w:rsidP="00A21C1B">
      <w:pPr>
        <w:spacing w:after="0"/>
        <w:rPr>
          <w:sz w:val="23"/>
          <w:szCs w:val="23"/>
        </w:rPr>
      </w:pPr>
      <w:r w:rsidRPr="000A5B09">
        <w:rPr>
          <w:sz w:val="23"/>
          <w:szCs w:val="23"/>
        </w:rPr>
        <w:t xml:space="preserve">The </w:t>
      </w:r>
      <w:r w:rsidRPr="00835BA5">
        <w:rPr>
          <w:i/>
          <w:sz w:val="23"/>
          <w:szCs w:val="23"/>
        </w:rPr>
        <w:t>JMS Guidelines</w:t>
      </w:r>
      <w:r w:rsidRPr="000A5B09">
        <w:rPr>
          <w:sz w:val="23"/>
          <w:szCs w:val="23"/>
        </w:rPr>
        <w:t xml:space="preserve">: </w:t>
      </w:r>
    </w:p>
    <w:p w:rsidR="000A5B09" w:rsidRPr="000A5B09" w:rsidRDefault="002A7920" w:rsidP="00812762">
      <w:pPr>
        <w:spacing w:after="0"/>
        <w:rPr>
          <w:sz w:val="23"/>
          <w:szCs w:val="23"/>
        </w:rPr>
      </w:pPr>
      <w:hyperlink r:id="rId14" w:history="1">
        <w:r w:rsidR="000A5B09" w:rsidRPr="000A5B09">
          <w:rPr>
            <w:rStyle w:val="Hyperlink"/>
          </w:rPr>
          <w:t>http://www.socadms.org.uk/wp-content/uploads/JMS-Manuscript-Preparation-Guidelines.pdf</w:t>
        </w:r>
      </w:hyperlink>
      <w:r w:rsidR="000A5B09" w:rsidRPr="000A5B09">
        <w:rPr>
          <w:color w:val="1F497D"/>
        </w:rPr>
        <w:t xml:space="preserve"> </w:t>
      </w:r>
    </w:p>
    <w:p w:rsidR="000A5B09" w:rsidRDefault="000A5B09" w:rsidP="000A5B09">
      <w:pPr>
        <w:pStyle w:val="Default"/>
        <w:spacing w:line="276" w:lineRule="auto"/>
        <w:rPr>
          <w:rFonts w:asciiTheme="minorHAnsi" w:hAnsiTheme="minorHAnsi"/>
          <w:color w:val="auto"/>
          <w:sz w:val="22"/>
          <w:szCs w:val="22"/>
        </w:rPr>
      </w:pPr>
    </w:p>
    <w:p w:rsidR="00812762" w:rsidRPr="000A5B09" w:rsidRDefault="00812762" w:rsidP="000A5B09">
      <w:pPr>
        <w:pStyle w:val="Default"/>
        <w:spacing w:line="276" w:lineRule="auto"/>
        <w:rPr>
          <w:rFonts w:asciiTheme="minorHAnsi" w:hAnsiTheme="minorHAnsi"/>
          <w:color w:val="auto"/>
          <w:sz w:val="22"/>
          <w:szCs w:val="22"/>
        </w:rPr>
      </w:pPr>
    </w:p>
    <w:p w:rsidR="000A5B09" w:rsidRPr="000A5B09" w:rsidRDefault="000A5B09" w:rsidP="00250781">
      <w:pPr>
        <w:pStyle w:val="Default"/>
        <w:spacing w:after="80" w:line="276" w:lineRule="auto"/>
        <w:rPr>
          <w:rFonts w:asciiTheme="minorHAnsi" w:hAnsiTheme="minorHAnsi"/>
          <w:b/>
          <w:bCs/>
          <w:color w:val="auto"/>
          <w:sz w:val="22"/>
          <w:szCs w:val="22"/>
        </w:rPr>
      </w:pPr>
      <w:r>
        <w:rPr>
          <w:rFonts w:asciiTheme="minorHAnsi" w:hAnsiTheme="minorHAnsi"/>
          <w:b/>
          <w:bCs/>
          <w:color w:val="auto"/>
          <w:sz w:val="22"/>
          <w:szCs w:val="22"/>
        </w:rPr>
        <w:t>SPECIAL ISSUE WORKSHOP</w:t>
      </w:r>
    </w:p>
    <w:p w:rsidR="000A5B09" w:rsidRPr="000A5B09" w:rsidRDefault="000A5B09" w:rsidP="000A5B09">
      <w:pPr>
        <w:pStyle w:val="Default"/>
        <w:spacing w:line="276" w:lineRule="auto"/>
        <w:rPr>
          <w:rFonts w:asciiTheme="minorHAnsi" w:hAnsiTheme="minorHAnsi"/>
          <w:color w:val="auto"/>
          <w:sz w:val="22"/>
          <w:szCs w:val="22"/>
        </w:rPr>
      </w:pPr>
      <w:r w:rsidRPr="000A5B09">
        <w:rPr>
          <w:rFonts w:asciiTheme="minorHAnsi" w:hAnsiTheme="minorHAnsi"/>
          <w:color w:val="auto"/>
          <w:sz w:val="22"/>
          <w:szCs w:val="22"/>
        </w:rPr>
        <w:t xml:space="preserve">To help authors advance their manuscripts, a Special Issue Workshop will be held in </w:t>
      </w:r>
      <w:r w:rsidRPr="000A5B09">
        <w:rPr>
          <w:rFonts w:asciiTheme="minorHAnsi" w:hAnsiTheme="minorHAnsi"/>
          <w:b/>
          <w:color w:val="auto"/>
          <w:sz w:val="22"/>
          <w:szCs w:val="22"/>
        </w:rPr>
        <w:t>May 2017</w:t>
      </w:r>
      <w:r w:rsidRPr="000A5B09">
        <w:rPr>
          <w:rFonts w:asciiTheme="minorHAnsi" w:hAnsiTheme="minorHAnsi"/>
          <w:color w:val="auto"/>
          <w:sz w:val="22"/>
          <w:szCs w:val="22"/>
        </w:rPr>
        <w:t xml:space="preserve"> in Denver, Colorado.  Authors of R&amp;R manuscripts will be invited to present their papers and react to their colleague’s papers during the workshop, but </w:t>
      </w:r>
      <w:r w:rsidRPr="000A5B09">
        <w:rPr>
          <w:rFonts w:asciiTheme="minorHAnsi" w:hAnsiTheme="minorHAnsi"/>
          <w:noProof/>
          <w:color w:val="auto"/>
          <w:sz w:val="22"/>
          <w:szCs w:val="22"/>
        </w:rPr>
        <w:t>presentation</w:t>
      </w:r>
      <w:r w:rsidRPr="000A5B09">
        <w:rPr>
          <w:rFonts w:asciiTheme="minorHAnsi" w:hAnsiTheme="minorHAnsi"/>
          <w:color w:val="auto"/>
          <w:sz w:val="22"/>
          <w:szCs w:val="22"/>
        </w:rPr>
        <w:t xml:space="preserve"> at the workshop does not guarantee acceptance of the paper for publication in </w:t>
      </w:r>
      <w:r w:rsidRPr="000A5B09">
        <w:rPr>
          <w:rFonts w:asciiTheme="minorHAnsi" w:hAnsiTheme="minorHAnsi"/>
          <w:i/>
          <w:color w:val="auto"/>
          <w:sz w:val="22"/>
          <w:szCs w:val="22"/>
        </w:rPr>
        <w:t>JMS</w:t>
      </w:r>
      <w:r w:rsidRPr="000A5B09">
        <w:rPr>
          <w:rFonts w:asciiTheme="minorHAnsi" w:hAnsiTheme="minorHAnsi"/>
          <w:color w:val="auto"/>
          <w:sz w:val="22"/>
          <w:szCs w:val="22"/>
        </w:rPr>
        <w:t>. Attending the workshop is not a precondition for acceptance into the Special Issue.</w:t>
      </w:r>
    </w:p>
    <w:p w:rsidR="000A5B09" w:rsidRPr="000A5B09" w:rsidRDefault="000A5B09" w:rsidP="000A5B09">
      <w:pPr>
        <w:pStyle w:val="Default"/>
        <w:spacing w:line="276" w:lineRule="auto"/>
        <w:rPr>
          <w:rFonts w:asciiTheme="minorHAnsi" w:hAnsiTheme="minorHAnsi"/>
          <w:color w:val="auto"/>
          <w:sz w:val="22"/>
          <w:szCs w:val="22"/>
        </w:rPr>
      </w:pPr>
    </w:p>
    <w:p w:rsidR="000A5B09" w:rsidRPr="000A5B09" w:rsidRDefault="000A5B09" w:rsidP="000A5B09">
      <w:pPr>
        <w:pStyle w:val="Default"/>
        <w:spacing w:line="276" w:lineRule="auto"/>
        <w:rPr>
          <w:rFonts w:asciiTheme="minorHAnsi" w:hAnsiTheme="minorHAnsi"/>
          <w:color w:val="auto"/>
          <w:sz w:val="22"/>
          <w:szCs w:val="22"/>
        </w:rPr>
      </w:pPr>
    </w:p>
    <w:p w:rsidR="000A5B09" w:rsidRPr="000A5B09" w:rsidRDefault="000A5B09" w:rsidP="00250781">
      <w:pPr>
        <w:pStyle w:val="Default"/>
        <w:spacing w:after="80" w:line="276" w:lineRule="auto"/>
        <w:rPr>
          <w:rFonts w:asciiTheme="minorHAnsi" w:hAnsiTheme="minorHAnsi"/>
          <w:b/>
          <w:color w:val="auto"/>
          <w:sz w:val="22"/>
          <w:szCs w:val="22"/>
        </w:rPr>
      </w:pPr>
      <w:r>
        <w:rPr>
          <w:rFonts w:asciiTheme="minorHAnsi" w:hAnsiTheme="minorHAnsi"/>
          <w:b/>
          <w:color w:val="auto"/>
          <w:sz w:val="22"/>
          <w:szCs w:val="22"/>
        </w:rPr>
        <w:t>REFERENCES</w:t>
      </w:r>
    </w:p>
    <w:p w:rsidR="000A5B09" w:rsidRPr="000A5B09" w:rsidRDefault="001618CE" w:rsidP="000A5B09">
      <w:pPr>
        <w:pStyle w:val="Default"/>
        <w:spacing w:line="276" w:lineRule="auto"/>
        <w:ind w:left="720" w:hanging="720"/>
        <w:rPr>
          <w:rFonts w:asciiTheme="minorHAnsi" w:hAnsiTheme="minorHAnsi"/>
          <w:color w:val="auto"/>
          <w:sz w:val="22"/>
          <w:szCs w:val="22"/>
        </w:rPr>
      </w:pPr>
      <w:r>
        <w:rPr>
          <w:rFonts w:asciiTheme="minorHAnsi" w:hAnsiTheme="minorHAnsi"/>
          <w:color w:val="auto"/>
          <w:sz w:val="22"/>
          <w:szCs w:val="22"/>
        </w:rPr>
        <w:t>Lieberman, M.B. and</w:t>
      </w:r>
      <w:r w:rsidR="000A5B09" w:rsidRPr="000A5B09">
        <w:rPr>
          <w:rFonts w:asciiTheme="minorHAnsi" w:hAnsiTheme="minorHAnsi"/>
          <w:color w:val="auto"/>
          <w:sz w:val="22"/>
          <w:szCs w:val="22"/>
        </w:rPr>
        <w:t xml:space="preserve"> Montgomery, D.B. </w:t>
      </w:r>
      <w:r w:rsidR="00480181">
        <w:rPr>
          <w:rFonts w:asciiTheme="minorHAnsi" w:hAnsiTheme="minorHAnsi"/>
          <w:color w:val="auto"/>
          <w:sz w:val="22"/>
          <w:szCs w:val="22"/>
        </w:rPr>
        <w:t>(1988). ‘</w:t>
      </w:r>
      <w:r w:rsidR="000A5B09" w:rsidRPr="000A5B09">
        <w:rPr>
          <w:rFonts w:asciiTheme="minorHAnsi" w:hAnsiTheme="minorHAnsi"/>
          <w:color w:val="auto"/>
          <w:sz w:val="22"/>
          <w:szCs w:val="22"/>
        </w:rPr>
        <w:t>First-mover advantage</w:t>
      </w:r>
      <w:r w:rsidR="00480181">
        <w:rPr>
          <w:rFonts w:asciiTheme="minorHAnsi" w:hAnsiTheme="minorHAnsi"/>
          <w:color w:val="auto"/>
          <w:sz w:val="22"/>
          <w:szCs w:val="22"/>
        </w:rPr>
        <w:t>s’</w:t>
      </w:r>
      <w:r w:rsidR="000A5B09" w:rsidRPr="000A5B09">
        <w:rPr>
          <w:rFonts w:asciiTheme="minorHAnsi" w:hAnsiTheme="minorHAnsi"/>
          <w:color w:val="auto"/>
          <w:sz w:val="22"/>
          <w:szCs w:val="22"/>
        </w:rPr>
        <w:t xml:space="preserve">. </w:t>
      </w:r>
      <w:r w:rsidR="000A5B09" w:rsidRPr="000A5B09">
        <w:rPr>
          <w:rFonts w:asciiTheme="minorHAnsi" w:hAnsiTheme="minorHAnsi"/>
          <w:i/>
          <w:color w:val="auto"/>
          <w:sz w:val="22"/>
          <w:szCs w:val="22"/>
        </w:rPr>
        <w:t>Strategic Management Journal</w:t>
      </w:r>
      <w:r w:rsidR="000A5B09" w:rsidRPr="000A5B09">
        <w:rPr>
          <w:rFonts w:asciiTheme="minorHAnsi" w:hAnsiTheme="minorHAnsi"/>
          <w:color w:val="auto"/>
          <w:sz w:val="22"/>
          <w:szCs w:val="22"/>
        </w:rPr>
        <w:t xml:space="preserve">, </w:t>
      </w:r>
      <w:r w:rsidR="000A5B09" w:rsidRPr="00480181">
        <w:rPr>
          <w:rFonts w:asciiTheme="minorHAnsi" w:hAnsiTheme="minorHAnsi"/>
          <w:b/>
          <w:color w:val="auto"/>
          <w:sz w:val="22"/>
          <w:szCs w:val="22"/>
        </w:rPr>
        <w:t>9</w:t>
      </w:r>
      <w:r w:rsidR="00480181">
        <w:rPr>
          <w:rFonts w:asciiTheme="minorHAnsi" w:hAnsiTheme="minorHAnsi"/>
          <w:color w:val="auto"/>
          <w:sz w:val="22"/>
          <w:szCs w:val="22"/>
        </w:rPr>
        <w:t>,</w:t>
      </w:r>
      <w:r w:rsidR="000A5B09" w:rsidRPr="000A5B09">
        <w:rPr>
          <w:rFonts w:asciiTheme="minorHAnsi" w:hAnsiTheme="minorHAnsi"/>
          <w:color w:val="auto"/>
          <w:sz w:val="22"/>
          <w:szCs w:val="22"/>
        </w:rPr>
        <w:t xml:space="preserve"> 41-58.</w:t>
      </w:r>
    </w:p>
    <w:p w:rsidR="000A5B09" w:rsidRPr="000A5B09" w:rsidRDefault="001618CE" w:rsidP="000A5B09">
      <w:pPr>
        <w:pStyle w:val="Default"/>
        <w:spacing w:line="276" w:lineRule="auto"/>
        <w:ind w:left="720" w:hanging="720"/>
        <w:rPr>
          <w:rFonts w:asciiTheme="minorHAnsi" w:hAnsiTheme="minorHAnsi"/>
          <w:color w:val="auto"/>
          <w:sz w:val="22"/>
          <w:szCs w:val="22"/>
        </w:rPr>
      </w:pPr>
      <w:r>
        <w:rPr>
          <w:rFonts w:asciiTheme="minorHAnsi" w:hAnsiTheme="minorHAnsi"/>
          <w:color w:val="auto"/>
          <w:sz w:val="22"/>
          <w:szCs w:val="22"/>
        </w:rPr>
        <w:t xml:space="preserve">Markman, G.D., Waldron, T.L. and </w:t>
      </w:r>
      <w:r w:rsidR="000A5B09" w:rsidRPr="000A5B09">
        <w:rPr>
          <w:rFonts w:asciiTheme="minorHAnsi" w:hAnsiTheme="minorHAnsi"/>
          <w:color w:val="auto"/>
          <w:sz w:val="22"/>
          <w:szCs w:val="22"/>
        </w:rPr>
        <w:t xml:space="preserve">Panagopoulos, A. </w:t>
      </w:r>
      <w:r w:rsidR="000A5B09">
        <w:rPr>
          <w:rFonts w:asciiTheme="minorHAnsi" w:hAnsiTheme="minorHAnsi"/>
          <w:color w:val="auto"/>
          <w:sz w:val="22"/>
          <w:szCs w:val="22"/>
        </w:rPr>
        <w:t>(</w:t>
      </w:r>
      <w:r w:rsidR="000A5B09" w:rsidRPr="000A5B09">
        <w:rPr>
          <w:rFonts w:asciiTheme="minorHAnsi" w:hAnsiTheme="minorHAnsi"/>
          <w:color w:val="auto"/>
          <w:sz w:val="22"/>
          <w:szCs w:val="22"/>
        </w:rPr>
        <w:t>2016</w:t>
      </w:r>
      <w:r w:rsidR="000A5B09">
        <w:rPr>
          <w:rFonts w:asciiTheme="minorHAnsi" w:hAnsiTheme="minorHAnsi"/>
          <w:color w:val="auto"/>
          <w:sz w:val="22"/>
          <w:szCs w:val="22"/>
        </w:rPr>
        <w:t>)</w:t>
      </w:r>
      <w:r w:rsidR="000A5B09" w:rsidRPr="000A5B09">
        <w:rPr>
          <w:rFonts w:asciiTheme="minorHAnsi" w:hAnsiTheme="minorHAnsi"/>
          <w:color w:val="auto"/>
          <w:sz w:val="22"/>
          <w:szCs w:val="22"/>
        </w:rPr>
        <w:t xml:space="preserve">. </w:t>
      </w:r>
      <w:r w:rsidR="00480181">
        <w:rPr>
          <w:rFonts w:asciiTheme="minorHAnsi" w:hAnsiTheme="minorHAnsi"/>
          <w:color w:val="auto"/>
          <w:sz w:val="22"/>
          <w:szCs w:val="22"/>
        </w:rPr>
        <w:t>‘</w:t>
      </w:r>
      <w:r w:rsidR="000A5B09" w:rsidRPr="000A5B09">
        <w:rPr>
          <w:rFonts w:asciiTheme="minorHAnsi" w:hAnsiTheme="minorHAnsi"/>
          <w:color w:val="auto"/>
          <w:sz w:val="22"/>
          <w:szCs w:val="22"/>
        </w:rPr>
        <w:t>Organizational hostility: Why and how nonmarket players compete with firms</w:t>
      </w:r>
      <w:r w:rsidR="00480181">
        <w:rPr>
          <w:rFonts w:asciiTheme="minorHAnsi" w:hAnsiTheme="minorHAnsi"/>
          <w:color w:val="auto"/>
          <w:sz w:val="22"/>
          <w:szCs w:val="22"/>
        </w:rPr>
        <w:t>’</w:t>
      </w:r>
      <w:r w:rsidR="000A5B09" w:rsidRPr="000A5B09">
        <w:rPr>
          <w:rFonts w:asciiTheme="minorHAnsi" w:hAnsiTheme="minorHAnsi"/>
          <w:color w:val="auto"/>
          <w:sz w:val="22"/>
          <w:szCs w:val="22"/>
        </w:rPr>
        <w:t xml:space="preserve">.  </w:t>
      </w:r>
      <w:r w:rsidR="000A5B09" w:rsidRPr="000A5B09">
        <w:rPr>
          <w:rFonts w:asciiTheme="minorHAnsi" w:hAnsiTheme="minorHAnsi"/>
          <w:i/>
          <w:color w:val="auto"/>
          <w:sz w:val="22"/>
          <w:szCs w:val="22"/>
        </w:rPr>
        <w:t>Academy of Management Perspectives</w:t>
      </w:r>
      <w:r w:rsidR="00480181">
        <w:rPr>
          <w:rFonts w:asciiTheme="minorHAnsi" w:hAnsiTheme="minorHAnsi"/>
          <w:color w:val="auto"/>
          <w:sz w:val="22"/>
          <w:szCs w:val="22"/>
        </w:rPr>
        <w:t xml:space="preserve">, </w:t>
      </w:r>
      <w:r w:rsidR="00480181" w:rsidRPr="00480181">
        <w:rPr>
          <w:rFonts w:asciiTheme="minorHAnsi" w:hAnsiTheme="minorHAnsi"/>
          <w:b/>
          <w:color w:val="auto"/>
          <w:sz w:val="22"/>
          <w:szCs w:val="22"/>
        </w:rPr>
        <w:t>30</w:t>
      </w:r>
      <w:r w:rsidR="00480181">
        <w:rPr>
          <w:rFonts w:asciiTheme="minorHAnsi" w:hAnsiTheme="minorHAnsi"/>
          <w:color w:val="auto"/>
          <w:sz w:val="22"/>
          <w:szCs w:val="22"/>
        </w:rPr>
        <w:t xml:space="preserve">, </w:t>
      </w:r>
      <w:r w:rsidR="000A5B09" w:rsidRPr="000A5B09">
        <w:rPr>
          <w:rFonts w:asciiTheme="minorHAnsi" w:hAnsiTheme="minorHAnsi"/>
          <w:color w:val="auto"/>
          <w:sz w:val="22"/>
          <w:szCs w:val="22"/>
        </w:rPr>
        <w:t>74-92.</w:t>
      </w:r>
    </w:p>
    <w:p w:rsidR="000A5B09" w:rsidRPr="000A5B09" w:rsidRDefault="000A5B09" w:rsidP="000A5B09">
      <w:pPr>
        <w:pStyle w:val="Default"/>
        <w:spacing w:line="276" w:lineRule="auto"/>
        <w:ind w:left="720" w:hanging="720"/>
        <w:rPr>
          <w:rFonts w:asciiTheme="minorHAnsi" w:hAnsiTheme="minorHAnsi"/>
          <w:color w:val="auto"/>
          <w:sz w:val="22"/>
          <w:szCs w:val="22"/>
        </w:rPr>
      </w:pPr>
      <w:r w:rsidRPr="000A5B09">
        <w:rPr>
          <w:rFonts w:asciiTheme="minorHAnsi" w:hAnsiTheme="minorHAnsi"/>
          <w:color w:val="auto"/>
          <w:sz w:val="22"/>
          <w:szCs w:val="22"/>
        </w:rPr>
        <w:t>Zachary, M.</w:t>
      </w:r>
      <w:r w:rsidR="001618CE">
        <w:rPr>
          <w:rFonts w:asciiTheme="minorHAnsi" w:hAnsiTheme="minorHAnsi"/>
          <w:color w:val="auto"/>
          <w:sz w:val="22"/>
          <w:szCs w:val="22"/>
        </w:rPr>
        <w:t>A., Gianiodis, P.T., Payne, T. and</w:t>
      </w:r>
      <w:r>
        <w:rPr>
          <w:rFonts w:asciiTheme="minorHAnsi" w:hAnsiTheme="minorHAnsi"/>
          <w:color w:val="auto"/>
          <w:sz w:val="22"/>
          <w:szCs w:val="22"/>
        </w:rPr>
        <w:t xml:space="preserve"> Markman, G.D. (</w:t>
      </w:r>
      <w:r w:rsidRPr="000A5B09">
        <w:rPr>
          <w:rFonts w:asciiTheme="minorHAnsi" w:hAnsiTheme="minorHAnsi"/>
          <w:color w:val="auto"/>
          <w:sz w:val="22"/>
          <w:szCs w:val="22"/>
        </w:rPr>
        <w:t>2015</w:t>
      </w:r>
      <w:r>
        <w:rPr>
          <w:rFonts w:asciiTheme="minorHAnsi" w:hAnsiTheme="minorHAnsi"/>
          <w:color w:val="auto"/>
          <w:sz w:val="22"/>
          <w:szCs w:val="22"/>
        </w:rPr>
        <w:t>)</w:t>
      </w:r>
      <w:r w:rsidRPr="000A5B09">
        <w:rPr>
          <w:rFonts w:asciiTheme="minorHAnsi" w:hAnsiTheme="minorHAnsi"/>
          <w:color w:val="auto"/>
          <w:sz w:val="22"/>
          <w:szCs w:val="22"/>
        </w:rPr>
        <w:t xml:space="preserve">. </w:t>
      </w:r>
      <w:r w:rsidR="00480181">
        <w:rPr>
          <w:rFonts w:asciiTheme="minorHAnsi" w:hAnsiTheme="minorHAnsi"/>
          <w:color w:val="auto"/>
          <w:sz w:val="22"/>
          <w:szCs w:val="22"/>
        </w:rPr>
        <w:t>‘</w:t>
      </w:r>
      <w:r w:rsidRPr="000A5B09">
        <w:rPr>
          <w:rFonts w:asciiTheme="minorHAnsi" w:hAnsiTheme="minorHAnsi"/>
          <w:color w:val="auto"/>
          <w:sz w:val="22"/>
          <w:szCs w:val="22"/>
        </w:rPr>
        <w:t>Entry timing: Enduring lessons and future directions</w:t>
      </w:r>
      <w:r w:rsidR="00480181">
        <w:rPr>
          <w:rFonts w:asciiTheme="minorHAnsi" w:hAnsiTheme="minorHAnsi"/>
          <w:color w:val="auto"/>
          <w:sz w:val="22"/>
          <w:szCs w:val="22"/>
        </w:rPr>
        <w:t>’</w:t>
      </w:r>
      <w:r w:rsidRPr="000A5B09">
        <w:rPr>
          <w:rFonts w:asciiTheme="minorHAnsi" w:hAnsiTheme="minorHAnsi"/>
          <w:color w:val="auto"/>
          <w:sz w:val="22"/>
          <w:szCs w:val="22"/>
        </w:rPr>
        <w:t xml:space="preserve">. </w:t>
      </w:r>
      <w:r w:rsidR="00480181">
        <w:rPr>
          <w:rFonts w:asciiTheme="minorHAnsi" w:hAnsiTheme="minorHAnsi"/>
          <w:color w:val="auto"/>
          <w:sz w:val="22"/>
          <w:szCs w:val="22"/>
        </w:rPr>
        <w:t xml:space="preserve"> </w:t>
      </w:r>
      <w:r w:rsidRPr="000A5B09">
        <w:rPr>
          <w:rFonts w:asciiTheme="minorHAnsi" w:hAnsiTheme="minorHAnsi"/>
          <w:i/>
          <w:color w:val="auto"/>
          <w:sz w:val="22"/>
          <w:szCs w:val="22"/>
        </w:rPr>
        <w:t>Journal of Management</w:t>
      </w:r>
      <w:r w:rsidR="00480181">
        <w:rPr>
          <w:rFonts w:asciiTheme="minorHAnsi" w:hAnsiTheme="minorHAnsi"/>
          <w:color w:val="auto"/>
          <w:sz w:val="22"/>
          <w:szCs w:val="22"/>
        </w:rPr>
        <w:t xml:space="preserve">, </w:t>
      </w:r>
      <w:r w:rsidR="00480181" w:rsidRPr="00480181">
        <w:rPr>
          <w:rFonts w:asciiTheme="minorHAnsi" w:hAnsiTheme="minorHAnsi"/>
          <w:b/>
          <w:color w:val="auto"/>
          <w:sz w:val="22"/>
          <w:szCs w:val="22"/>
        </w:rPr>
        <w:t>41</w:t>
      </w:r>
      <w:r w:rsidR="00480181">
        <w:rPr>
          <w:rFonts w:asciiTheme="minorHAnsi" w:hAnsiTheme="minorHAnsi"/>
          <w:color w:val="auto"/>
          <w:sz w:val="22"/>
          <w:szCs w:val="22"/>
        </w:rPr>
        <w:t xml:space="preserve">, </w:t>
      </w:r>
      <w:r w:rsidRPr="000A5B09">
        <w:rPr>
          <w:rFonts w:asciiTheme="minorHAnsi" w:hAnsiTheme="minorHAnsi"/>
          <w:color w:val="auto"/>
          <w:sz w:val="22"/>
          <w:szCs w:val="22"/>
        </w:rPr>
        <w:t>1388-1415.</w:t>
      </w:r>
    </w:p>
    <w:p w:rsidR="000A5B09" w:rsidRDefault="000A5B09" w:rsidP="000A5B09">
      <w:pPr>
        <w:jc w:val="center"/>
      </w:pPr>
    </w:p>
    <w:sectPr w:rsidR="000A5B09" w:rsidSect="000A5B09">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0D7F"/>
    <w:multiLevelType w:val="hybridMultilevel"/>
    <w:tmpl w:val="CF184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EEB49B5"/>
    <w:multiLevelType w:val="hybridMultilevel"/>
    <w:tmpl w:val="D056F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09"/>
    <w:rsid w:val="00040785"/>
    <w:rsid w:val="000A5B09"/>
    <w:rsid w:val="001618CE"/>
    <w:rsid w:val="00250781"/>
    <w:rsid w:val="002A7920"/>
    <w:rsid w:val="00480181"/>
    <w:rsid w:val="005D4081"/>
    <w:rsid w:val="00614D56"/>
    <w:rsid w:val="007D596F"/>
    <w:rsid w:val="00812762"/>
    <w:rsid w:val="00835BA5"/>
    <w:rsid w:val="00843601"/>
    <w:rsid w:val="00A21C1B"/>
    <w:rsid w:val="00CC3C5E"/>
    <w:rsid w:val="00E76C61"/>
    <w:rsid w:val="00F2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9BF65-D9EA-4935-92FA-5879E531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B09"/>
    <w:rPr>
      <w:rFonts w:ascii="Tahoma" w:hAnsi="Tahoma" w:cs="Tahoma"/>
      <w:sz w:val="16"/>
      <w:szCs w:val="16"/>
    </w:rPr>
  </w:style>
  <w:style w:type="character" w:styleId="Hyperlink">
    <w:name w:val="Hyperlink"/>
    <w:basedOn w:val="DefaultParagraphFont"/>
    <w:uiPriority w:val="99"/>
    <w:unhideWhenUsed/>
    <w:rsid w:val="000A5B09"/>
    <w:rPr>
      <w:color w:val="0000FF" w:themeColor="hyperlink"/>
      <w:u w:val="single"/>
    </w:rPr>
  </w:style>
  <w:style w:type="paragraph" w:styleId="NormalWeb">
    <w:name w:val="Normal (Web)"/>
    <w:basedOn w:val="Normal"/>
    <w:uiPriority w:val="99"/>
    <w:unhideWhenUsed/>
    <w:rsid w:val="000A5B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A5B09"/>
    <w:pPr>
      <w:ind w:left="720"/>
      <w:contextualSpacing/>
    </w:pPr>
    <w:rPr>
      <w:lang w:val="en-US"/>
    </w:rPr>
  </w:style>
  <w:style w:type="paragraph" w:customStyle="1" w:styleId="Default">
    <w:name w:val="Default"/>
    <w:uiPriority w:val="99"/>
    <w:rsid w:val="000A5B0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ge.payne@ttu.edu" TargetMode="External"/><Relationship Id="rId13" Type="http://schemas.openxmlformats.org/officeDocument/2006/relationships/hyperlink" Target="mailto:gid.markman@gmail.com" TargetMode="External"/><Relationship Id="rId3" Type="http://schemas.openxmlformats.org/officeDocument/2006/relationships/settings" Target="settings.xml"/><Relationship Id="rId7" Type="http://schemas.openxmlformats.org/officeDocument/2006/relationships/hyperlink" Target="mailto:pgianio@clemson.edu" TargetMode="External"/><Relationship Id="rId12" Type="http://schemas.openxmlformats.org/officeDocument/2006/relationships/hyperlink" Target="mailto:Igor.Filatotchev.1@city.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ideon.markman@colostate.edu" TargetMode="External"/><Relationship Id="rId11" Type="http://schemas.openxmlformats.org/officeDocument/2006/relationships/hyperlink" Target="mailto:christopher.tucci@epfl.ch"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reddikotha@smu.edu.sg" TargetMode="External"/><Relationship Id="rId4" Type="http://schemas.openxmlformats.org/officeDocument/2006/relationships/webSettings" Target="webSettings.xml"/><Relationship Id="rId9" Type="http://schemas.openxmlformats.org/officeDocument/2006/relationships/hyperlink" Target="mailto:erg@sfu.ca" TargetMode="External"/><Relationship Id="rId14" Type="http://schemas.openxmlformats.org/officeDocument/2006/relationships/hyperlink" Target="http://www.socadms.org.uk/wp-content/uploads/JMS-Manuscript-Preparation-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Durham Business School</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Bettles</dc:creator>
  <cp:lastModifiedBy>Nicole</cp:lastModifiedBy>
  <cp:revision>2</cp:revision>
  <dcterms:created xsi:type="dcterms:W3CDTF">2016-05-10T22:42:00Z</dcterms:created>
  <dcterms:modified xsi:type="dcterms:W3CDTF">2016-05-10T22:42:00Z</dcterms:modified>
</cp:coreProperties>
</file>