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89" w:rsidRDefault="00810889"/>
    <w:p w:rsidR="00766FF7" w:rsidRDefault="00810889">
      <w:r w:rsidRPr="00810889">
        <w:rPr>
          <w:noProof/>
          <w:lang w:val="en-US"/>
        </w:rPr>
        <w:drawing>
          <wp:anchor distT="0" distB="0" distL="114300" distR="114300" simplePos="0" relativeHeight="251659264" behindDoc="0" locked="0" layoutInCell="1" allowOverlap="1">
            <wp:simplePos x="0" y="0"/>
            <wp:positionH relativeFrom="margin">
              <wp:posOffset>-971550</wp:posOffset>
            </wp:positionH>
            <wp:positionV relativeFrom="margin">
              <wp:posOffset>-914400</wp:posOffset>
            </wp:positionV>
            <wp:extent cx="8115300" cy="1123950"/>
            <wp:effectExtent l="19050" t="0" r="0" b="0"/>
            <wp:wrapSquare wrapText="bothSides"/>
            <wp:docPr id="12" name="Pictur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4" cstate="print"/>
                    <a:srcRect b="40650"/>
                    <a:stretch>
                      <a:fillRect/>
                    </a:stretch>
                  </pic:blipFill>
                  <pic:spPr>
                    <a:xfrm>
                      <a:off x="0" y="0"/>
                      <a:ext cx="8119745" cy="1128395"/>
                    </a:xfrm>
                    <a:prstGeom prst="rect">
                      <a:avLst/>
                    </a:prstGeom>
                  </pic:spPr>
                </pic:pic>
              </a:graphicData>
            </a:graphic>
          </wp:anchor>
        </w:drawing>
      </w:r>
      <w:r w:rsidR="00D41328">
        <w:t xml:space="preserve">CALL FOR </w:t>
      </w:r>
      <w:r w:rsidR="001B2238">
        <w:t>ABSTRACTS</w:t>
      </w:r>
      <w:r w:rsidR="00D41328">
        <w:t>:</w:t>
      </w:r>
    </w:p>
    <w:p w:rsidR="00D41328" w:rsidRPr="00810889" w:rsidRDefault="00D41328" w:rsidP="004C47EC">
      <w:pPr>
        <w:jc w:val="center"/>
        <w:rPr>
          <w:b/>
          <w:sz w:val="28"/>
        </w:rPr>
      </w:pPr>
      <w:r w:rsidRPr="00810889">
        <w:rPr>
          <w:b/>
          <w:sz w:val="36"/>
        </w:rPr>
        <w:t>Climate Smart Entrepreneurship Research Symposium</w:t>
      </w:r>
    </w:p>
    <w:p w:rsidR="00D41328" w:rsidRPr="00810889" w:rsidRDefault="00D41328" w:rsidP="004C47EC">
      <w:pPr>
        <w:jc w:val="center"/>
        <w:rPr>
          <w:b/>
          <w:sz w:val="28"/>
        </w:rPr>
      </w:pPr>
      <w:r w:rsidRPr="00810889">
        <w:rPr>
          <w:b/>
          <w:sz w:val="28"/>
        </w:rPr>
        <w:t>University of Otago, Dunedin, New Zealand 24-25 August, 2013</w:t>
      </w:r>
    </w:p>
    <w:p w:rsidR="004C47EC" w:rsidRDefault="004C47EC" w:rsidP="004C47EC">
      <w:pPr>
        <w:jc w:val="center"/>
        <w:rPr>
          <w:b/>
          <w:i/>
          <w:sz w:val="24"/>
        </w:rPr>
      </w:pPr>
      <w:r w:rsidRPr="0077383F">
        <w:rPr>
          <w:b/>
          <w:i/>
          <w:sz w:val="24"/>
        </w:rPr>
        <w:t>Sponsored by</w:t>
      </w:r>
      <w:r>
        <w:rPr>
          <w:b/>
          <w:sz w:val="24"/>
        </w:rPr>
        <w:t xml:space="preserve"> </w:t>
      </w:r>
      <w:r w:rsidRPr="004C47EC">
        <w:rPr>
          <w:b/>
          <w:i/>
          <w:sz w:val="24"/>
        </w:rPr>
        <w:t>ie.scholars.net</w:t>
      </w:r>
    </w:p>
    <w:p w:rsidR="004C47EC" w:rsidRDefault="004C47EC" w:rsidP="00810889">
      <w:pPr>
        <w:jc w:val="both"/>
        <w:rPr>
          <w:sz w:val="24"/>
        </w:rPr>
      </w:pPr>
      <w:r>
        <w:rPr>
          <w:sz w:val="24"/>
        </w:rPr>
        <w:t xml:space="preserve">There is growing interest into how </w:t>
      </w:r>
      <w:r w:rsidR="00810889">
        <w:rPr>
          <w:sz w:val="24"/>
        </w:rPr>
        <w:t xml:space="preserve">international </w:t>
      </w:r>
      <w:r>
        <w:rPr>
          <w:sz w:val="24"/>
        </w:rPr>
        <w:t xml:space="preserve">entrepreneurship </w:t>
      </w:r>
      <w:r w:rsidR="001D4C5A">
        <w:rPr>
          <w:sz w:val="24"/>
        </w:rPr>
        <w:t xml:space="preserve">development </w:t>
      </w:r>
      <w:r>
        <w:rPr>
          <w:sz w:val="24"/>
        </w:rPr>
        <w:t xml:space="preserve">can help struggling communities </w:t>
      </w:r>
      <w:r w:rsidR="001D4C5A">
        <w:rPr>
          <w:sz w:val="24"/>
        </w:rPr>
        <w:t>at the forefront of climate change</w:t>
      </w:r>
      <w:r>
        <w:rPr>
          <w:sz w:val="24"/>
        </w:rPr>
        <w:t xml:space="preserve"> to improve economic and social </w:t>
      </w:r>
      <w:r w:rsidR="0077383F">
        <w:rPr>
          <w:sz w:val="24"/>
        </w:rPr>
        <w:t xml:space="preserve">welfare as well as </w:t>
      </w:r>
      <w:r>
        <w:rPr>
          <w:sz w:val="24"/>
        </w:rPr>
        <w:t>resilience to climatic and other ecological threats.</w:t>
      </w:r>
    </w:p>
    <w:p w:rsidR="004C47EC" w:rsidRDefault="001D4C5A" w:rsidP="00810889">
      <w:pPr>
        <w:jc w:val="both"/>
        <w:rPr>
          <w:sz w:val="24"/>
        </w:rPr>
      </w:pPr>
      <w:r>
        <w:rPr>
          <w:sz w:val="24"/>
        </w:rPr>
        <w:t>A symposium is being held at the University of Otago over the weekend of 24-25 August 2013 to explore collaborative, cross-disciplinary and cross-cultural research ideas in this important area.</w:t>
      </w:r>
    </w:p>
    <w:p w:rsidR="001D4C5A" w:rsidRDefault="001D4C5A" w:rsidP="00810889">
      <w:pPr>
        <w:jc w:val="both"/>
        <w:rPr>
          <w:sz w:val="24"/>
        </w:rPr>
      </w:pPr>
      <w:r>
        <w:rPr>
          <w:sz w:val="24"/>
        </w:rPr>
        <w:t>We will also be discussing research funding and publication opportunities.</w:t>
      </w:r>
    </w:p>
    <w:p w:rsidR="0084516E" w:rsidRDefault="001D4C5A" w:rsidP="00810889">
      <w:pPr>
        <w:jc w:val="both"/>
        <w:rPr>
          <w:sz w:val="24"/>
        </w:rPr>
      </w:pPr>
      <w:r>
        <w:rPr>
          <w:sz w:val="24"/>
        </w:rPr>
        <w:t xml:space="preserve">If you are interested in taking part in this symposium, then submit a one-page abstract about your current or proposed research </w:t>
      </w:r>
      <w:r w:rsidR="008827DE">
        <w:rPr>
          <w:sz w:val="24"/>
        </w:rPr>
        <w:t>on climate smart entrepreneurship</w:t>
      </w:r>
      <w:r>
        <w:rPr>
          <w:sz w:val="24"/>
        </w:rPr>
        <w:t xml:space="preserve"> to the symposium chair, Professor Brendan Gray (</w:t>
      </w:r>
      <w:hyperlink r:id="rId5" w:history="1">
        <w:r w:rsidR="001B2238" w:rsidRPr="0051557F">
          <w:rPr>
            <w:rStyle w:val="Hyperlink"/>
            <w:sz w:val="24"/>
          </w:rPr>
          <w:t>brendan.gray@otago.ac.nz</w:t>
        </w:r>
      </w:hyperlink>
      <w:r>
        <w:rPr>
          <w:sz w:val="24"/>
        </w:rPr>
        <w:t>).</w:t>
      </w:r>
      <w:r w:rsidR="007E6BBF">
        <w:rPr>
          <w:sz w:val="24"/>
        </w:rPr>
        <w:t xml:space="preserve"> </w:t>
      </w:r>
      <w:r w:rsidR="0084516E">
        <w:rPr>
          <w:sz w:val="24"/>
        </w:rPr>
        <w:t>For inquiries about the venue, accommodation options and other administrative matters please contact the colloquium administrator, Ella Monahan (</w:t>
      </w:r>
      <w:hyperlink r:id="rId6" w:history="1">
        <w:r w:rsidR="0084516E" w:rsidRPr="00101DB0">
          <w:rPr>
            <w:rStyle w:val="Hyperlink"/>
            <w:sz w:val="24"/>
          </w:rPr>
          <w:t>ella.monahan@otago.ac.nz</w:t>
        </w:r>
      </w:hyperlink>
      <w:r w:rsidR="0084516E">
        <w:rPr>
          <w:sz w:val="24"/>
        </w:rPr>
        <w:t>).</w:t>
      </w:r>
    </w:p>
    <w:p w:rsidR="001B2238" w:rsidRDefault="007E6BBF" w:rsidP="00810889">
      <w:pPr>
        <w:jc w:val="both"/>
        <w:rPr>
          <w:sz w:val="24"/>
        </w:rPr>
      </w:pPr>
      <w:r>
        <w:rPr>
          <w:sz w:val="24"/>
        </w:rPr>
        <w:t>In the abstract also explain how your current or proposed research might fit into a broader climate smart entrepreneurship theme that focuses primarily on addressing the needs of disadvantaged communities in small island developing states and other emerging economies. It could be that lessons learned among disadvantaged communities in developed economies could also help inform research in emerging economies.</w:t>
      </w:r>
    </w:p>
    <w:p w:rsidR="00A33560" w:rsidRDefault="001B2238" w:rsidP="00810889">
      <w:pPr>
        <w:jc w:val="both"/>
        <w:rPr>
          <w:sz w:val="24"/>
        </w:rPr>
      </w:pPr>
      <w:r>
        <w:rPr>
          <w:sz w:val="24"/>
        </w:rPr>
        <w:t>The symposium will take the form of short presentations by participants (5 minutes each) followed by panel discussions to explore future research</w:t>
      </w:r>
      <w:r w:rsidR="0077383F">
        <w:rPr>
          <w:sz w:val="24"/>
        </w:rPr>
        <w:t xml:space="preserve"> possibilities</w:t>
      </w:r>
      <w:r>
        <w:rPr>
          <w:sz w:val="24"/>
        </w:rPr>
        <w:t xml:space="preserve">. Although the </w:t>
      </w:r>
      <w:r w:rsidR="00873AD3">
        <w:rPr>
          <w:sz w:val="24"/>
        </w:rPr>
        <w:t xml:space="preserve">research </w:t>
      </w:r>
      <w:r>
        <w:rPr>
          <w:sz w:val="24"/>
        </w:rPr>
        <w:t xml:space="preserve">abstracts will not be reviewed, </w:t>
      </w:r>
      <w:r w:rsidR="00873AD3">
        <w:rPr>
          <w:sz w:val="24"/>
        </w:rPr>
        <w:t xml:space="preserve">they will assist us to group </w:t>
      </w:r>
      <w:r w:rsidR="00FC409B">
        <w:rPr>
          <w:sz w:val="24"/>
        </w:rPr>
        <w:t xml:space="preserve">researchers with </w:t>
      </w:r>
      <w:r w:rsidR="00873AD3">
        <w:rPr>
          <w:sz w:val="24"/>
        </w:rPr>
        <w:t>similar interest</w:t>
      </w:r>
      <w:r w:rsidR="0077383F">
        <w:rPr>
          <w:sz w:val="24"/>
        </w:rPr>
        <w:t>s</w:t>
      </w:r>
      <w:r w:rsidR="00A33560">
        <w:rPr>
          <w:sz w:val="24"/>
        </w:rPr>
        <w:t xml:space="preserve"> and will help inform the panel discussions</w:t>
      </w:r>
      <w:r w:rsidR="00873AD3">
        <w:rPr>
          <w:sz w:val="24"/>
        </w:rPr>
        <w:t xml:space="preserve">. </w:t>
      </w:r>
      <w:r w:rsidR="00A33560">
        <w:rPr>
          <w:sz w:val="24"/>
        </w:rPr>
        <w:t xml:space="preserve">The make-up of the panels will be decided closer to the date of the symposium. </w:t>
      </w:r>
    </w:p>
    <w:p w:rsidR="0077383F" w:rsidRDefault="007E6BBF" w:rsidP="00810889">
      <w:pPr>
        <w:jc w:val="both"/>
        <w:rPr>
          <w:sz w:val="24"/>
        </w:rPr>
      </w:pPr>
      <w:r>
        <w:rPr>
          <w:sz w:val="24"/>
        </w:rPr>
        <w:t xml:space="preserve">The research presentations should not go into great detail about theories and methodologies but briefly discuss how your previous </w:t>
      </w:r>
      <w:r w:rsidR="00A33560">
        <w:rPr>
          <w:sz w:val="24"/>
        </w:rPr>
        <w:t xml:space="preserve">results </w:t>
      </w:r>
      <w:r>
        <w:rPr>
          <w:sz w:val="24"/>
        </w:rPr>
        <w:t>or proposed research might be of interest to the broader theme of climate smart entrepreneurship among disadvantaged and at-risk communities.</w:t>
      </w:r>
    </w:p>
    <w:p w:rsidR="001B2238" w:rsidRDefault="00873AD3" w:rsidP="00810889">
      <w:pPr>
        <w:jc w:val="both"/>
        <w:rPr>
          <w:sz w:val="24"/>
        </w:rPr>
      </w:pPr>
      <w:r>
        <w:rPr>
          <w:sz w:val="24"/>
        </w:rPr>
        <w:lastRenderedPageBreak/>
        <w:t>W</w:t>
      </w:r>
      <w:r w:rsidR="001B2238">
        <w:rPr>
          <w:sz w:val="24"/>
        </w:rPr>
        <w:t xml:space="preserve">e </w:t>
      </w:r>
      <w:r w:rsidR="0077383F">
        <w:rPr>
          <w:sz w:val="24"/>
        </w:rPr>
        <w:t>will</w:t>
      </w:r>
      <w:r w:rsidR="001B2238">
        <w:rPr>
          <w:sz w:val="24"/>
        </w:rPr>
        <w:t xml:space="preserve"> produce a strategy report shortly after the symposium has ended</w:t>
      </w:r>
      <w:r w:rsidR="0077383F">
        <w:rPr>
          <w:sz w:val="24"/>
        </w:rPr>
        <w:t xml:space="preserve"> and</w:t>
      </w:r>
      <w:r w:rsidR="008827DE">
        <w:rPr>
          <w:sz w:val="24"/>
        </w:rPr>
        <w:t xml:space="preserve"> </w:t>
      </w:r>
      <w:r w:rsidR="00A33560">
        <w:rPr>
          <w:sz w:val="24"/>
        </w:rPr>
        <w:t>are keen to build</w:t>
      </w:r>
      <w:r w:rsidR="008827DE">
        <w:rPr>
          <w:sz w:val="24"/>
        </w:rPr>
        <w:t xml:space="preserve"> an on-line research community.</w:t>
      </w:r>
    </w:p>
    <w:p w:rsidR="008827DE" w:rsidRDefault="001B2238" w:rsidP="00810889">
      <w:pPr>
        <w:jc w:val="both"/>
        <w:rPr>
          <w:sz w:val="24"/>
        </w:rPr>
      </w:pPr>
      <w:r>
        <w:rPr>
          <w:sz w:val="24"/>
        </w:rPr>
        <w:t>The price for the one and-a-half day symposium is $1</w:t>
      </w:r>
      <w:r w:rsidR="0077383F">
        <w:rPr>
          <w:sz w:val="24"/>
        </w:rPr>
        <w:t>0</w:t>
      </w:r>
      <w:r w:rsidR="00873AD3">
        <w:rPr>
          <w:sz w:val="24"/>
        </w:rPr>
        <w:t>0 per person to cover the cost</w:t>
      </w:r>
      <w:r>
        <w:rPr>
          <w:sz w:val="24"/>
        </w:rPr>
        <w:t xml:space="preserve"> of </w:t>
      </w:r>
      <w:r w:rsidR="005025BB">
        <w:rPr>
          <w:sz w:val="24"/>
        </w:rPr>
        <w:t xml:space="preserve">three coffee breaks, </w:t>
      </w:r>
      <w:r>
        <w:rPr>
          <w:sz w:val="24"/>
        </w:rPr>
        <w:t xml:space="preserve">two lunches and a </w:t>
      </w:r>
      <w:r w:rsidR="0077383F">
        <w:rPr>
          <w:sz w:val="24"/>
        </w:rPr>
        <w:t>pre-dinner</w:t>
      </w:r>
      <w:r>
        <w:rPr>
          <w:sz w:val="24"/>
        </w:rPr>
        <w:t xml:space="preserve"> </w:t>
      </w:r>
      <w:r w:rsidR="0077383F">
        <w:rPr>
          <w:sz w:val="24"/>
        </w:rPr>
        <w:t>social function</w:t>
      </w:r>
      <w:r>
        <w:rPr>
          <w:sz w:val="24"/>
        </w:rPr>
        <w:t>.</w:t>
      </w:r>
      <w:r w:rsidR="008827DE">
        <w:rPr>
          <w:sz w:val="24"/>
        </w:rPr>
        <w:t xml:space="preserve"> Participants </w:t>
      </w:r>
      <w:r w:rsidR="005025BB">
        <w:rPr>
          <w:sz w:val="24"/>
        </w:rPr>
        <w:t>must</w:t>
      </w:r>
      <w:r w:rsidR="008827DE">
        <w:rPr>
          <w:sz w:val="24"/>
        </w:rPr>
        <w:t xml:space="preserve"> arrange their own transport and accommodation. </w:t>
      </w:r>
    </w:p>
    <w:p w:rsidR="008827DE" w:rsidRPr="008827DE" w:rsidRDefault="001B2238" w:rsidP="008827DE">
      <w:pPr>
        <w:rPr>
          <w:sz w:val="24"/>
        </w:rPr>
      </w:pPr>
      <w:r>
        <w:rPr>
          <w:sz w:val="24"/>
        </w:rPr>
        <w:t xml:space="preserve">A draft </w:t>
      </w:r>
      <w:r w:rsidR="008827DE">
        <w:rPr>
          <w:sz w:val="24"/>
        </w:rPr>
        <w:t xml:space="preserve">program </w:t>
      </w:r>
      <w:r>
        <w:rPr>
          <w:sz w:val="24"/>
        </w:rPr>
        <w:t>timetable follows.</w:t>
      </w:r>
    </w:p>
    <w:tbl>
      <w:tblPr>
        <w:tblStyle w:val="TableGrid"/>
        <w:tblW w:w="9464" w:type="dxa"/>
        <w:tblLayout w:type="fixed"/>
        <w:tblLook w:val="04A0"/>
      </w:tblPr>
      <w:tblGrid>
        <w:gridCol w:w="2376"/>
        <w:gridCol w:w="7088"/>
      </w:tblGrid>
      <w:tr w:rsidR="008827DE" w:rsidRPr="006008AB" w:rsidTr="00873AD3">
        <w:tc>
          <w:tcPr>
            <w:tcW w:w="2376" w:type="dxa"/>
          </w:tcPr>
          <w:p w:rsidR="008827DE" w:rsidRPr="00D85475" w:rsidRDefault="008827DE" w:rsidP="00873AD3">
            <w:pPr>
              <w:rPr>
                <w:rFonts w:cs="Times New Roman"/>
              </w:rPr>
            </w:pPr>
            <w:r w:rsidRPr="00D85475">
              <w:rPr>
                <w:rFonts w:cs="Times New Roman"/>
              </w:rPr>
              <w:t xml:space="preserve"> Saturday 24 August</w:t>
            </w:r>
          </w:p>
          <w:p w:rsidR="008827DE" w:rsidRPr="00D85475" w:rsidRDefault="008827DE" w:rsidP="00873AD3">
            <w:pPr>
              <w:rPr>
                <w:rFonts w:cs="Times New Roman"/>
              </w:rPr>
            </w:pPr>
            <w:r w:rsidRPr="00D85475">
              <w:rPr>
                <w:rFonts w:cs="Times New Roman"/>
              </w:rPr>
              <w:t xml:space="preserve">8.00 -9.00 </w:t>
            </w:r>
          </w:p>
        </w:tc>
        <w:tc>
          <w:tcPr>
            <w:tcW w:w="7088" w:type="dxa"/>
          </w:tcPr>
          <w:p w:rsidR="008827DE" w:rsidRPr="00D85475" w:rsidRDefault="00B57BD4" w:rsidP="00873AD3">
            <w:pPr>
              <w:rPr>
                <w:rFonts w:cs="Times New Roman"/>
              </w:rPr>
            </w:pPr>
            <w:hyperlink r:id="rId7" w:history="1"/>
            <w:r w:rsidR="008827DE" w:rsidRPr="00D85475">
              <w:t xml:space="preserve"> </w:t>
            </w:r>
          </w:p>
          <w:p w:rsidR="008827DE" w:rsidRPr="00D85475" w:rsidRDefault="008827DE" w:rsidP="00873AD3">
            <w:pPr>
              <w:rPr>
                <w:rFonts w:cs="Times New Roman"/>
              </w:rPr>
            </w:pPr>
            <w:r w:rsidRPr="00D85475">
              <w:rPr>
                <w:rFonts w:cs="Times New Roman"/>
              </w:rPr>
              <w:t>Registration</w:t>
            </w:r>
          </w:p>
        </w:tc>
      </w:tr>
      <w:tr w:rsidR="008827DE" w:rsidRPr="006008AB" w:rsidTr="00873AD3">
        <w:tc>
          <w:tcPr>
            <w:tcW w:w="2376" w:type="dxa"/>
          </w:tcPr>
          <w:p w:rsidR="008827DE" w:rsidRPr="00D85475" w:rsidRDefault="008827DE" w:rsidP="00873AD3">
            <w:pPr>
              <w:rPr>
                <w:rFonts w:cs="Times New Roman"/>
              </w:rPr>
            </w:pPr>
            <w:r w:rsidRPr="00D85475">
              <w:rPr>
                <w:rFonts w:cs="Times New Roman"/>
              </w:rPr>
              <w:t xml:space="preserve"> 9.00-9.30</w:t>
            </w:r>
          </w:p>
        </w:tc>
        <w:tc>
          <w:tcPr>
            <w:tcW w:w="7088" w:type="dxa"/>
          </w:tcPr>
          <w:p w:rsidR="008827DE" w:rsidRPr="00D85475" w:rsidRDefault="00B57BD4" w:rsidP="00873AD3">
            <w:pPr>
              <w:rPr>
                <w:rFonts w:cs="Times New Roman"/>
              </w:rPr>
            </w:pPr>
            <w:hyperlink r:id="rId8" w:history="1"/>
            <w:r w:rsidR="008827DE" w:rsidRPr="00D85475">
              <w:t xml:space="preserve"> Welcome &amp; Introduction</w:t>
            </w:r>
          </w:p>
        </w:tc>
      </w:tr>
      <w:tr w:rsidR="008827DE" w:rsidRPr="006008AB" w:rsidTr="00873AD3">
        <w:tc>
          <w:tcPr>
            <w:tcW w:w="2376" w:type="dxa"/>
          </w:tcPr>
          <w:p w:rsidR="008827DE" w:rsidRPr="00D85475" w:rsidRDefault="008827DE" w:rsidP="00873AD3">
            <w:pPr>
              <w:rPr>
                <w:rFonts w:cs="Times New Roman"/>
              </w:rPr>
            </w:pPr>
            <w:r w:rsidRPr="00D85475">
              <w:rPr>
                <w:rFonts w:cs="Times New Roman"/>
              </w:rPr>
              <w:t xml:space="preserve"> 9.30-10.30</w:t>
            </w:r>
          </w:p>
        </w:tc>
        <w:tc>
          <w:tcPr>
            <w:tcW w:w="7088" w:type="dxa"/>
          </w:tcPr>
          <w:p w:rsidR="008827DE" w:rsidRPr="00D85475" w:rsidRDefault="00B57BD4" w:rsidP="008827DE">
            <w:pPr>
              <w:rPr>
                <w:rFonts w:cs="Times New Roman"/>
              </w:rPr>
            </w:pPr>
            <w:hyperlink r:id="rId9" w:history="1"/>
            <w:r w:rsidR="008827DE" w:rsidRPr="00D85475">
              <w:t xml:space="preserve"> </w:t>
            </w:r>
            <w:r w:rsidR="008827DE">
              <w:t>Guest speaker</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 xml:space="preserve"> 10.30-11.00</w:t>
            </w:r>
          </w:p>
        </w:tc>
        <w:tc>
          <w:tcPr>
            <w:tcW w:w="7088" w:type="dxa"/>
          </w:tcPr>
          <w:p w:rsidR="008827DE" w:rsidRPr="00D85475" w:rsidRDefault="008827DE" w:rsidP="00873AD3">
            <w:pPr>
              <w:rPr>
                <w:rFonts w:cs="Times New Roman"/>
              </w:rPr>
            </w:pPr>
            <w:r w:rsidRPr="00D85475">
              <w:rPr>
                <w:rFonts w:cs="Times New Roman"/>
              </w:rPr>
              <w:t xml:space="preserve"> Break</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 xml:space="preserve"> 11.00-12.00</w:t>
            </w:r>
          </w:p>
        </w:tc>
        <w:tc>
          <w:tcPr>
            <w:tcW w:w="7088" w:type="dxa"/>
          </w:tcPr>
          <w:p w:rsidR="008827DE" w:rsidRPr="00D85475" w:rsidRDefault="00B57BD4" w:rsidP="008827DE">
            <w:pPr>
              <w:rPr>
                <w:rFonts w:cs="Times New Roman"/>
              </w:rPr>
            </w:pPr>
            <w:hyperlink r:id="rId10" w:history="1"/>
            <w:r w:rsidR="008827DE" w:rsidRPr="00D85475">
              <w:t xml:space="preserve"> </w:t>
            </w:r>
            <w:r w:rsidR="008827DE">
              <w:t>Guest speaker</w:t>
            </w:r>
          </w:p>
        </w:tc>
      </w:tr>
      <w:tr w:rsidR="008827DE" w:rsidRPr="00E41753" w:rsidTr="00873AD3">
        <w:tc>
          <w:tcPr>
            <w:tcW w:w="2376" w:type="dxa"/>
          </w:tcPr>
          <w:p w:rsidR="008827DE" w:rsidRPr="00D85475" w:rsidRDefault="008827DE" w:rsidP="00873AD3">
            <w:r w:rsidRPr="00D85475">
              <w:rPr>
                <w:rFonts w:cs="Times New Roman"/>
              </w:rPr>
              <w:t xml:space="preserve"> 12.00-1.00</w:t>
            </w:r>
          </w:p>
        </w:tc>
        <w:tc>
          <w:tcPr>
            <w:tcW w:w="7088" w:type="dxa"/>
          </w:tcPr>
          <w:p w:rsidR="008827DE" w:rsidRPr="00D85475" w:rsidRDefault="00B57BD4" w:rsidP="00873AD3">
            <w:pPr>
              <w:rPr>
                <w:rFonts w:cs="Times New Roman"/>
              </w:rPr>
            </w:pPr>
            <w:hyperlink r:id="rId11" w:history="1"/>
            <w:r w:rsidR="008827DE" w:rsidRPr="00D85475">
              <w:t xml:space="preserve"> Lunch</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1.00-2.00</w:t>
            </w:r>
          </w:p>
        </w:tc>
        <w:tc>
          <w:tcPr>
            <w:tcW w:w="7088" w:type="dxa"/>
          </w:tcPr>
          <w:p w:rsidR="008827DE" w:rsidRPr="00D85475" w:rsidRDefault="008827DE" w:rsidP="00873AD3">
            <w:r w:rsidRPr="00D85475">
              <w:t>Research summary presentations (5min per person =</w:t>
            </w:r>
            <w:r>
              <w:t xml:space="preserve"> maximum of</w:t>
            </w:r>
            <w:r w:rsidRPr="00D85475">
              <w:t xml:space="preserve"> 12)</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2.00-3.00</w:t>
            </w:r>
          </w:p>
        </w:tc>
        <w:tc>
          <w:tcPr>
            <w:tcW w:w="7088" w:type="dxa"/>
          </w:tcPr>
          <w:p w:rsidR="008827DE" w:rsidRPr="00D85475" w:rsidRDefault="008827DE" w:rsidP="00873AD3">
            <w:r w:rsidRPr="00D85475">
              <w:t>Panel discussion – Research synergies</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3.00-3.30</w:t>
            </w:r>
          </w:p>
        </w:tc>
        <w:tc>
          <w:tcPr>
            <w:tcW w:w="7088" w:type="dxa"/>
          </w:tcPr>
          <w:p w:rsidR="008827DE" w:rsidRPr="00D85475" w:rsidRDefault="008827DE" w:rsidP="00873AD3">
            <w:r w:rsidRPr="00D85475">
              <w:t>Break</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3.30-4.30</w:t>
            </w:r>
          </w:p>
        </w:tc>
        <w:tc>
          <w:tcPr>
            <w:tcW w:w="7088" w:type="dxa"/>
          </w:tcPr>
          <w:p w:rsidR="008827DE" w:rsidRPr="00D85475" w:rsidRDefault="008827DE" w:rsidP="00873AD3">
            <w:r w:rsidRPr="00D85475">
              <w:t xml:space="preserve">Research summary presentations (5min per person = </w:t>
            </w:r>
            <w:r>
              <w:t>maximum of</w:t>
            </w:r>
            <w:r w:rsidR="00FC409B">
              <w:t xml:space="preserve"> </w:t>
            </w:r>
            <w:r w:rsidRPr="00D85475">
              <w:t>12)</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4.30-5.30</w:t>
            </w:r>
          </w:p>
        </w:tc>
        <w:tc>
          <w:tcPr>
            <w:tcW w:w="7088" w:type="dxa"/>
          </w:tcPr>
          <w:p w:rsidR="008827DE" w:rsidRPr="00D85475" w:rsidRDefault="008827DE" w:rsidP="00873AD3">
            <w:r w:rsidRPr="00D85475">
              <w:t>Panel discussion – Research synergies</w:t>
            </w:r>
          </w:p>
        </w:tc>
      </w:tr>
      <w:tr w:rsidR="008827DE" w:rsidRPr="00E41753" w:rsidTr="00873AD3">
        <w:tc>
          <w:tcPr>
            <w:tcW w:w="2376" w:type="dxa"/>
          </w:tcPr>
          <w:p w:rsidR="008827DE" w:rsidRPr="00D85475" w:rsidRDefault="008827DE" w:rsidP="00810889">
            <w:pPr>
              <w:rPr>
                <w:rFonts w:cs="Times New Roman"/>
              </w:rPr>
            </w:pPr>
            <w:r w:rsidRPr="00D85475">
              <w:rPr>
                <w:rFonts w:cs="Times New Roman"/>
              </w:rPr>
              <w:t>5.30-</w:t>
            </w:r>
            <w:r w:rsidR="00810889">
              <w:rPr>
                <w:rFonts w:cs="Times New Roman"/>
              </w:rPr>
              <w:t>7.0</w:t>
            </w:r>
            <w:r w:rsidRPr="00D85475">
              <w:rPr>
                <w:rFonts w:cs="Times New Roman"/>
              </w:rPr>
              <w:t>0</w:t>
            </w:r>
          </w:p>
        </w:tc>
        <w:tc>
          <w:tcPr>
            <w:tcW w:w="7088" w:type="dxa"/>
          </w:tcPr>
          <w:p w:rsidR="008827DE" w:rsidRPr="00D85475" w:rsidRDefault="008827DE" w:rsidP="00810889">
            <w:r w:rsidRPr="00D85475">
              <w:t xml:space="preserve">Pre-dinner </w:t>
            </w:r>
            <w:r w:rsidR="00810889">
              <w:t>social function</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Sunday 25 August</w:t>
            </w:r>
          </w:p>
          <w:p w:rsidR="008827DE" w:rsidRPr="00D85475" w:rsidRDefault="008827DE" w:rsidP="00873AD3">
            <w:pPr>
              <w:rPr>
                <w:rFonts w:cs="Times New Roman"/>
              </w:rPr>
            </w:pPr>
            <w:r w:rsidRPr="00D85475">
              <w:rPr>
                <w:rFonts w:cs="Times New Roman"/>
              </w:rPr>
              <w:t>8.30 -9.30</w:t>
            </w:r>
          </w:p>
        </w:tc>
        <w:tc>
          <w:tcPr>
            <w:tcW w:w="7088" w:type="dxa"/>
          </w:tcPr>
          <w:p w:rsidR="008827DE" w:rsidRPr="00D85475" w:rsidRDefault="008827DE" w:rsidP="00873AD3"/>
          <w:p w:rsidR="008827DE" w:rsidRPr="00D85475" w:rsidRDefault="008827DE" w:rsidP="00873AD3">
            <w:r w:rsidRPr="00D85475">
              <w:t>Research summary presentations (5min per person = 12)</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 xml:space="preserve">9.30-10.30 </w:t>
            </w:r>
          </w:p>
        </w:tc>
        <w:tc>
          <w:tcPr>
            <w:tcW w:w="7088" w:type="dxa"/>
          </w:tcPr>
          <w:p w:rsidR="008827DE" w:rsidRPr="00D85475" w:rsidRDefault="008827DE" w:rsidP="00873AD3">
            <w:r w:rsidRPr="00D85475">
              <w:t>Panel discussion – Research synergies</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10.30-11.00</w:t>
            </w:r>
          </w:p>
        </w:tc>
        <w:tc>
          <w:tcPr>
            <w:tcW w:w="7088" w:type="dxa"/>
          </w:tcPr>
          <w:p w:rsidR="008827DE" w:rsidRPr="00D85475" w:rsidRDefault="008827DE" w:rsidP="00873AD3">
            <w:r w:rsidRPr="00D85475">
              <w:t>Break</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11.-12.00</w:t>
            </w:r>
          </w:p>
        </w:tc>
        <w:tc>
          <w:tcPr>
            <w:tcW w:w="7088" w:type="dxa"/>
          </w:tcPr>
          <w:p w:rsidR="008827DE" w:rsidRPr="00D85475" w:rsidRDefault="008827DE" w:rsidP="00873AD3">
            <w:r w:rsidRPr="00D85475">
              <w:t>Closing Plenary – Funding and publishing opportunities</w:t>
            </w:r>
          </w:p>
        </w:tc>
      </w:tr>
      <w:tr w:rsidR="008827DE" w:rsidRPr="00E41753" w:rsidTr="00873AD3">
        <w:tc>
          <w:tcPr>
            <w:tcW w:w="2376" w:type="dxa"/>
          </w:tcPr>
          <w:p w:rsidR="008827DE" w:rsidRPr="00D85475" w:rsidRDefault="008827DE" w:rsidP="00873AD3">
            <w:pPr>
              <w:rPr>
                <w:rFonts w:cs="Times New Roman"/>
              </w:rPr>
            </w:pPr>
            <w:r w:rsidRPr="00D85475">
              <w:rPr>
                <w:rFonts w:cs="Times New Roman"/>
              </w:rPr>
              <w:t>12.00-1.00</w:t>
            </w:r>
          </w:p>
        </w:tc>
        <w:tc>
          <w:tcPr>
            <w:tcW w:w="7088" w:type="dxa"/>
          </w:tcPr>
          <w:p w:rsidR="008827DE" w:rsidRPr="00D85475" w:rsidRDefault="008827DE" w:rsidP="00873AD3">
            <w:r w:rsidRPr="00D85475">
              <w:t>Lunch</w:t>
            </w:r>
          </w:p>
        </w:tc>
      </w:tr>
    </w:tbl>
    <w:p w:rsidR="008827DE" w:rsidRDefault="008827DE" w:rsidP="008827DE"/>
    <w:p w:rsidR="008827DE" w:rsidRPr="004C47EC" w:rsidRDefault="008827DE" w:rsidP="004C47EC">
      <w:pPr>
        <w:rPr>
          <w:sz w:val="24"/>
        </w:rPr>
      </w:pPr>
    </w:p>
    <w:p w:rsidR="004C47EC" w:rsidRPr="004C47EC" w:rsidRDefault="004C47EC" w:rsidP="004C47EC">
      <w:pPr>
        <w:jc w:val="center"/>
        <w:rPr>
          <w:b/>
          <w:sz w:val="24"/>
        </w:rPr>
      </w:pPr>
    </w:p>
    <w:sectPr w:rsidR="004C47EC" w:rsidRPr="004C47EC" w:rsidSect="00766F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328"/>
    <w:rsid w:val="000F02DD"/>
    <w:rsid w:val="000F6A74"/>
    <w:rsid w:val="0016166B"/>
    <w:rsid w:val="001A5D26"/>
    <w:rsid w:val="001B2238"/>
    <w:rsid w:val="001D4C5A"/>
    <w:rsid w:val="004B22E0"/>
    <w:rsid w:val="004C47EC"/>
    <w:rsid w:val="005025BB"/>
    <w:rsid w:val="006D7FF7"/>
    <w:rsid w:val="00766FF7"/>
    <w:rsid w:val="0077383F"/>
    <w:rsid w:val="007E6BBF"/>
    <w:rsid w:val="00810889"/>
    <w:rsid w:val="0084516E"/>
    <w:rsid w:val="00873AD3"/>
    <w:rsid w:val="008827DE"/>
    <w:rsid w:val="00A33560"/>
    <w:rsid w:val="00B57BD4"/>
    <w:rsid w:val="00C03FA4"/>
    <w:rsid w:val="00D41328"/>
    <w:rsid w:val="00EA1186"/>
    <w:rsid w:val="00FA2412"/>
    <w:rsid w:val="00FB3D1F"/>
    <w:rsid w:val="00FC40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238"/>
    <w:rPr>
      <w:color w:val="0000FF" w:themeColor="hyperlink"/>
      <w:u w:val="single"/>
    </w:rPr>
  </w:style>
  <w:style w:type="table" w:styleId="TableGrid">
    <w:name w:val="Table Grid"/>
    <w:basedOn w:val="TableNormal"/>
    <w:uiPriority w:val="59"/>
    <w:rsid w:val="0088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ren@ironbark.co.n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a.walton@otago.ac.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a.monahan@otago.ac.nz" TargetMode="External"/><Relationship Id="rId11" Type="http://schemas.openxmlformats.org/officeDocument/2006/relationships/hyperlink" Target="mailto:climatechange@Iesamoa.org.ws" TargetMode="External"/><Relationship Id="rId5" Type="http://schemas.openxmlformats.org/officeDocument/2006/relationships/hyperlink" Target="mailto:brendan.gray@otago.ac.nz" TargetMode="External"/><Relationship Id="rId10" Type="http://schemas.openxmlformats.org/officeDocument/2006/relationships/hyperlink" Target="mailto:ben.wooliscroft@otago.ac.nz" TargetMode="External"/><Relationship Id="rId4" Type="http://schemas.openxmlformats.org/officeDocument/2006/relationships/image" Target="media/image1.jpeg"/><Relationship Id="rId9" Type="http://schemas.openxmlformats.org/officeDocument/2006/relationships/hyperlink" Target="mailto:karen.webster@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Nicole Coviello</cp:lastModifiedBy>
  <cp:revision>2</cp:revision>
  <dcterms:created xsi:type="dcterms:W3CDTF">2013-06-27T15:59:00Z</dcterms:created>
  <dcterms:modified xsi:type="dcterms:W3CDTF">2013-06-27T15:59:00Z</dcterms:modified>
</cp:coreProperties>
</file>